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3D3C77" w:rsidP="00A51FCD" w14:paraId="771E5EC4" w14:textId="5DB72943">
      <w:pPr>
        <w:pStyle w:val="Heading1"/>
        <w:ind w:right="-483"/>
        <w:rPr>
          <w:rFonts w:ascii="Arial" w:hAnsi="Arial" w:cs="Arial"/>
          <w:color w:val="1E1E1E"/>
        </w:rPr>
      </w:pPr>
      <w:r>
        <w:rPr>
          <w:rFonts w:ascii="Arial" w:hAnsi="Arial" w:cs="Arial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727710</wp:posOffset>
                </wp:positionV>
                <wp:extent cx="5943600" cy="266700"/>
                <wp:effectExtent l="0" t="0" r="1905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C77" w:rsidRPr="007C2502" w:rsidP="007C2502" w14:paraId="24BA7B2C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2502">
                              <w:rPr>
                                <w:b/>
                                <w:bCs/>
                              </w:rPr>
                              <w:t>Denna text gäller vuxna. För barn kan specifika riktlinjer finnas.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5" type="#_x0000_t202" style="width:468pt;height:21pt;margin-top:57.3pt;margin-left:-21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3D3C77" w:rsidRPr="007C2502" w:rsidP="007C2502" w14:textId="19193246">
                      <w:pPr>
                        <w:rPr>
                          <w:b/>
                          <w:bCs/>
                        </w:rPr>
                      </w:pPr>
                      <w:r w:rsidRPr="007C2502">
                        <w:rPr>
                          <w:b/>
                          <w:bCs/>
                        </w:rPr>
                        <w:t>Denna text gäller vuxna. För barn kan specifika riktlinjer finnas.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14A">
        <w:rPr>
          <w:rFonts w:ascii="Arial" w:hAnsi="Arial" w:cs="Arial"/>
          <w:color w:val="1E1E1E"/>
        </w:rPr>
        <w:t xml:space="preserve">               </w:t>
      </w:r>
      <w:r w:rsidRPr="009D02CF">
        <w:rPr>
          <w:b/>
          <w:bCs/>
        </w:rPr>
        <w:t>Blåsövervakning</w:t>
      </w:r>
      <w:r>
        <w:rPr>
          <w:rFonts w:ascii="Arial" w:hAnsi="Arial" w:cs="Arial"/>
          <w:color w:val="1E1E1E"/>
        </w:rPr>
        <w:t xml:space="preserve"> </w:t>
      </w:r>
      <w:r w:rsidRPr="008F2371" w:rsidR="00DC614A">
        <w:rPr>
          <w:sz w:val="20"/>
          <w:szCs w:val="20"/>
        </w:rPr>
        <w:t>(Reviderad</w:t>
      </w:r>
      <w:r w:rsidR="00DC614A">
        <w:rPr>
          <w:sz w:val="24"/>
          <w:szCs w:val="24"/>
        </w:rPr>
        <w:t xml:space="preserve"> </w:t>
      </w:r>
      <w:r w:rsidR="00DD79A8">
        <w:rPr>
          <w:sz w:val="20"/>
          <w:szCs w:val="20"/>
        </w:rPr>
        <w:t>201120</w:t>
      </w:r>
      <w:r w:rsidRPr="008F2371" w:rsidR="00DC614A">
        <w:rPr>
          <w:sz w:val="20"/>
          <w:szCs w:val="20"/>
        </w:rPr>
        <w:t>)</w:t>
      </w:r>
    </w:p>
    <w:p w:rsidR="003D3C77" w:rsidP="003D3C77" w14:paraId="63267897" w14:textId="77777777"/>
    <w:p w:rsidR="003D3C77" w:rsidP="003D3C77" w14:paraId="55ED2E91" w14:textId="77777777"/>
    <w:p w:rsidR="00DC614A" w:rsidRPr="00062FDD" w:rsidP="007C2502" w14:paraId="0720583B" w14:textId="77777777">
      <w:pPr>
        <w:autoSpaceDE w:val="0"/>
        <w:autoSpaceDN w:val="0"/>
        <w:adjustRightInd w:val="0"/>
        <w:ind w:left="-284"/>
        <w:rPr>
          <w:rFonts w:ascii="Garamond" w:hAnsi="Garamond" w:cs="Garamond"/>
          <w:sz w:val="24"/>
          <w:szCs w:val="24"/>
        </w:rPr>
      </w:pPr>
      <w:r w:rsidRPr="00EC0EE7">
        <w:rPr>
          <w:rFonts w:asciiTheme="majorHAnsi" w:hAnsiTheme="majorHAnsi" w:cs="Garamond"/>
          <w:szCs w:val="20"/>
        </w:rPr>
        <w:t>Urinretention innebär att man inte kan tömma blåsan. Överfylld blåsa innebär en</w:t>
      </w:r>
      <w:r>
        <w:rPr>
          <w:rFonts w:asciiTheme="majorHAnsi" w:hAnsiTheme="majorHAnsi" w:cs="Garamond"/>
          <w:szCs w:val="20"/>
        </w:rPr>
        <w:t xml:space="preserve"> </w:t>
      </w:r>
      <w:r w:rsidRPr="00EC0EE7">
        <w:rPr>
          <w:rFonts w:asciiTheme="majorHAnsi" w:hAnsiTheme="majorHAnsi" w:cs="Garamond"/>
          <w:szCs w:val="20"/>
        </w:rPr>
        <w:t>blåsvolym &gt;</w:t>
      </w:r>
      <w:r w:rsidR="003F07D9">
        <w:rPr>
          <w:rFonts w:asciiTheme="majorHAnsi" w:hAnsiTheme="majorHAnsi" w:cs="Garamond"/>
          <w:szCs w:val="20"/>
        </w:rPr>
        <w:t>4</w:t>
      </w:r>
      <w:r w:rsidRPr="00EC0EE7">
        <w:rPr>
          <w:rFonts w:asciiTheme="majorHAnsi" w:hAnsiTheme="majorHAnsi" w:cs="Garamond"/>
          <w:szCs w:val="20"/>
        </w:rPr>
        <w:t xml:space="preserve">00 ml. Överfylld blåsa kan medföra </w:t>
      </w:r>
      <w:r w:rsidRPr="00EC0EE7">
        <w:rPr>
          <w:rFonts w:asciiTheme="majorHAnsi" w:hAnsiTheme="majorHAnsi" w:cs="Garamond"/>
          <w:szCs w:val="20"/>
        </w:rPr>
        <w:t>kvarstående skada om den inte</w:t>
      </w:r>
      <w:r>
        <w:rPr>
          <w:rFonts w:asciiTheme="majorHAnsi" w:hAnsiTheme="majorHAnsi" w:cs="Garamond"/>
          <w:szCs w:val="20"/>
        </w:rPr>
        <w:t xml:space="preserve"> </w:t>
      </w:r>
      <w:r w:rsidRPr="00EC0EE7">
        <w:rPr>
          <w:rFonts w:asciiTheme="majorHAnsi" w:hAnsiTheme="majorHAnsi" w:cs="Garamond"/>
          <w:szCs w:val="20"/>
        </w:rPr>
        <w:t xml:space="preserve">åtgärdas inom </w:t>
      </w:r>
      <w:r w:rsidRPr="00EC0EE7" w:rsidR="003F07D9">
        <w:rPr>
          <w:rFonts w:asciiTheme="majorHAnsi" w:hAnsiTheme="majorHAnsi" w:cs="Garamond"/>
          <w:szCs w:val="20"/>
        </w:rPr>
        <w:t>1–2</w:t>
      </w:r>
      <w:r w:rsidRPr="00EC0EE7">
        <w:rPr>
          <w:rFonts w:asciiTheme="majorHAnsi" w:hAnsiTheme="majorHAnsi" w:cs="Garamond"/>
          <w:szCs w:val="20"/>
        </w:rPr>
        <w:t xml:space="preserve"> timmar</w:t>
      </w:r>
      <w:r>
        <w:rPr>
          <w:rFonts w:ascii="Garamond" w:hAnsi="Garamond" w:cs="Garamond"/>
          <w:sz w:val="24"/>
          <w:szCs w:val="24"/>
        </w:rPr>
        <w:t>.</w:t>
      </w:r>
      <w:r w:rsidR="003F07D9"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posOffset>-307022</wp:posOffset>
            </wp:positionH>
            <wp:positionV relativeFrom="page">
              <wp:posOffset>2734627</wp:posOffset>
            </wp:positionV>
            <wp:extent cx="1752600" cy="569595"/>
            <wp:effectExtent l="0" t="0" r="0" b="0"/>
            <wp:wrapNone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typ_li_RGB.wm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14A" w:rsidP="00DC614A" w14:paraId="7EE583F4" w14:textId="77777777">
      <w:pPr>
        <w:ind w:right="-767"/>
        <w:rPr>
          <w:rFonts w:asciiTheme="majorHAnsi" w:hAnsiTheme="majorHAnsi"/>
        </w:rPr>
      </w:pPr>
    </w:p>
    <w:p w:rsidR="00DC614A" w:rsidRPr="000A69BF" w:rsidP="00DC614A" w14:paraId="46043481" w14:textId="77777777">
      <w:pPr>
        <w:ind w:right="-767"/>
        <w:rPr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351155</wp:posOffset>
            </wp:positionV>
            <wp:extent cx="1466850" cy="781050"/>
            <wp:effectExtent l="0" t="0" r="0" b="0"/>
            <wp:wrapSquare wrapText="bothSides"/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9BF">
        <w:rPr>
          <w:sz w:val="36"/>
          <w:szCs w:val="36"/>
        </w:rPr>
        <w:t>Bedömning och åtgärd vid risk för urinretention</w:t>
      </w:r>
      <w:r>
        <w:rPr>
          <w:sz w:val="36"/>
          <w:szCs w:val="36"/>
        </w:rPr>
        <w:t xml:space="preserve"> </w:t>
      </w:r>
    </w:p>
    <w:tbl>
      <w:tblPr>
        <w:tblStyle w:val="TableGrid"/>
        <w:tblW w:w="9215" w:type="dxa"/>
        <w:tblInd w:w="-431" w:type="dxa"/>
        <w:tblLook w:val="04A0"/>
      </w:tblPr>
      <w:tblGrid>
        <w:gridCol w:w="9215"/>
      </w:tblGrid>
      <w:tr w14:paraId="1F2634FE" w14:textId="77777777" w:rsidTr="0048508E">
        <w:tblPrEx>
          <w:tblW w:w="9215" w:type="dxa"/>
          <w:tblInd w:w="-431" w:type="dxa"/>
          <w:tblLook w:val="04A0"/>
        </w:tblPrEx>
        <w:tc>
          <w:tcPr>
            <w:tcW w:w="9215" w:type="dxa"/>
          </w:tcPr>
          <w:p w:rsidR="00DC614A" w:rsidP="0048508E" w14:paraId="2A5F2549" w14:textId="77777777">
            <w:pPr>
              <w:ind w:right="-431"/>
            </w:pPr>
            <w:r>
              <w:t>Observera – innan mätning ska patienten ges tillfälle att tömma blåsan om möjligt sittande eller stående i ostörd miljö.</w:t>
            </w:r>
          </w:p>
        </w:tc>
      </w:tr>
    </w:tbl>
    <w:p w:rsidR="00DC614A" w:rsidRPr="0083102E" w:rsidP="00DC614A" w14:paraId="17CBB517" w14:textId="77777777"/>
    <w:tbl>
      <w:tblPr>
        <w:tblStyle w:val="TableGrid"/>
        <w:tblW w:w="9348" w:type="dxa"/>
        <w:tblInd w:w="-431" w:type="dxa"/>
        <w:tblLook w:val="04A0"/>
      </w:tblPr>
      <w:tblGrid>
        <w:gridCol w:w="993"/>
        <w:gridCol w:w="5738"/>
        <w:gridCol w:w="2617"/>
      </w:tblGrid>
      <w:tr w14:paraId="71EF2212" w14:textId="77777777" w:rsidTr="009D043E">
        <w:tblPrEx>
          <w:tblW w:w="9348" w:type="dxa"/>
          <w:tblInd w:w="-431" w:type="dxa"/>
          <w:tblLook w:val="04A0"/>
        </w:tblPrEx>
        <w:trPr>
          <w:trHeight w:val="241"/>
        </w:trPr>
        <w:tc>
          <w:tcPr>
            <w:tcW w:w="993" w:type="dxa"/>
          </w:tcPr>
          <w:p w:rsidR="00DC614A" w:rsidP="0048508E" w14:paraId="7CEEEB66" w14:textId="77777777"/>
        </w:tc>
        <w:tc>
          <w:tcPr>
            <w:tcW w:w="5738" w:type="dxa"/>
          </w:tcPr>
          <w:p w:rsidR="00DC614A" w:rsidRPr="000A69BF" w:rsidP="0048508E" w14:paraId="74C9A329" w14:textId="77777777">
            <w:pPr>
              <w:rPr>
                <w:b/>
                <w:bCs/>
                <w:sz w:val="22"/>
              </w:rPr>
            </w:pPr>
            <w:r w:rsidRPr="000A69BF">
              <w:rPr>
                <w:b/>
                <w:bCs/>
                <w:sz w:val="22"/>
              </w:rPr>
              <w:t>Situation</w:t>
            </w:r>
          </w:p>
        </w:tc>
        <w:tc>
          <w:tcPr>
            <w:tcW w:w="2617" w:type="dxa"/>
          </w:tcPr>
          <w:p w:rsidR="00DC614A" w:rsidRPr="000A69BF" w:rsidP="0048508E" w14:paraId="76854684" w14:textId="77777777">
            <w:pPr>
              <w:rPr>
                <w:b/>
                <w:bCs/>
                <w:sz w:val="22"/>
              </w:rPr>
            </w:pPr>
            <w:r w:rsidRPr="000A69BF">
              <w:rPr>
                <w:b/>
                <w:bCs/>
                <w:sz w:val="22"/>
              </w:rPr>
              <w:t>Åtgärd</w:t>
            </w:r>
          </w:p>
        </w:tc>
      </w:tr>
      <w:tr w14:paraId="59479301" w14:textId="77777777" w:rsidTr="009D043E">
        <w:tblPrEx>
          <w:tblW w:w="9348" w:type="dxa"/>
          <w:tblInd w:w="-431" w:type="dxa"/>
          <w:tblLook w:val="04A0"/>
        </w:tblPrEx>
        <w:trPr>
          <w:trHeight w:val="2925"/>
        </w:trPr>
        <w:tc>
          <w:tcPr>
            <w:tcW w:w="993" w:type="dxa"/>
          </w:tcPr>
          <w:p w:rsidR="00DC614A" w:rsidRPr="00C80D49" w:rsidP="0048508E" w14:paraId="7DFB10EF" w14:textId="77777777">
            <w:pPr>
              <w:rPr>
                <w:b/>
                <w:bCs/>
                <w:sz w:val="16"/>
                <w:szCs w:val="16"/>
              </w:rPr>
            </w:pPr>
            <w:r w:rsidRPr="002C0117">
              <w:rPr>
                <w:b/>
                <w:bCs/>
                <w:szCs w:val="20"/>
              </w:rPr>
              <w:t>Allmän</w:t>
            </w:r>
            <w:r w:rsidRPr="00C80D49">
              <w:rPr>
                <w:b/>
                <w:bCs/>
                <w:sz w:val="16"/>
                <w:szCs w:val="16"/>
              </w:rPr>
              <w:t xml:space="preserve"> </w:t>
            </w:r>
            <w:r w:rsidRPr="002C0117">
              <w:rPr>
                <w:b/>
                <w:bCs/>
                <w:szCs w:val="20"/>
              </w:rPr>
              <w:t>risk</w:t>
            </w:r>
          </w:p>
        </w:tc>
        <w:tc>
          <w:tcPr>
            <w:tcW w:w="5738" w:type="dxa"/>
          </w:tcPr>
          <w:p w:rsidR="00DC614A" w:rsidRPr="00DC614A" w:rsidP="0048508E" w14:paraId="23C59F88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Tecken på avflödeshinder eller tidigare blåstömningsbesvär som kan påverka urinering</w:t>
            </w:r>
          </w:p>
          <w:p w:rsidR="00DC614A" w:rsidRPr="00DC614A" w:rsidP="0048508E" w14:paraId="6F85DDE0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Kognitiv svikt (med eller utan förvirring)</w:t>
            </w:r>
          </w:p>
          <w:p w:rsidR="00DC614A" w:rsidRPr="00DC614A" w:rsidP="0048508E" w14:paraId="7D9DC06D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Immobilisering (framförallt vid sängläge)</w:t>
            </w:r>
          </w:p>
          <w:p w:rsidR="00DC614A" w:rsidRPr="00DC614A" w:rsidP="0048508E" w14:paraId="27EBFEB9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Drog- och alkoholpåverkan (framförallt vid medvetslöshet)</w:t>
            </w:r>
          </w:p>
          <w:p w:rsidR="00DC614A" w:rsidRPr="00DC614A" w:rsidP="0048508E" w14:paraId="2397D30E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Diabetes mellitu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s, även nydebuterad</w:t>
            </w:r>
          </w:p>
          <w:p w:rsidR="00DC614A" w:rsidRPr="00DC614A" w:rsidP="0048508E" w14:paraId="12887D61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Akut buksjukdom, inklusive förstoppning</w:t>
            </w:r>
          </w:p>
          <w:p w:rsidR="00DC614A" w:rsidRPr="00DC614A" w:rsidP="0048508E" w14:paraId="193EBC0C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Neurologisk sjukdom, inklusive TIA (Transitorisk Ischemisk Attack) och stroke</w:t>
            </w:r>
          </w:p>
          <w:p w:rsidR="00DC614A" w:rsidRPr="00DC614A" w:rsidP="0048508E" w14:paraId="16C0C89E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Läkemedel som påverkar urinblåsan, till </w:t>
            </w:r>
            <w:r w:rsidRPr="00DC614A" w:rsidR="00062FDD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exempel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 opiater och antikolinergika</w:t>
            </w:r>
          </w:p>
          <w:p w:rsidR="00DC614A" w:rsidRPr="00DC614A" w:rsidP="0048508E" w14:paraId="7CDD07F9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Kronisk smärta</w:t>
            </w:r>
          </w:p>
          <w:p w:rsidR="00DC614A" w:rsidRPr="00DC614A" w:rsidP="0048508E" w14:paraId="4687CC99" w14:textId="77777777">
            <w:pPr>
              <w:numPr>
                <w:ilvl w:val="0"/>
                <w:numId w:val="22"/>
              </w:numPr>
              <w:tabs>
                <w:tab w:val="num" w:pos="451"/>
                <w:tab w:val="clear" w:pos="720"/>
              </w:tabs>
              <w:spacing w:before="100" w:before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Ålder över 75 år</w:t>
            </w:r>
          </w:p>
        </w:tc>
        <w:tc>
          <w:tcPr>
            <w:tcW w:w="2617" w:type="dxa"/>
          </w:tcPr>
          <w:p w:rsidR="00DC614A" w:rsidRPr="00DC614A" w:rsidP="0048508E" w14:paraId="62C0EE35" w14:textId="77777777">
            <w:pPr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Ultraljudskontroll med blåsscanner efter miktion:</w:t>
            </w:r>
          </w:p>
          <w:p w:rsidR="00DC614A" w:rsidRPr="00DC614A" w:rsidP="00DC614A" w14:paraId="1E7F6549" w14:textId="77777777">
            <w:pPr>
              <w:numPr>
                <w:ilvl w:val="0"/>
                <w:numId w:val="23"/>
              </w:numPr>
              <w:tabs>
                <w:tab w:val="num" w:pos="207"/>
                <w:tab w:val="clear" w:pos="720"/>
              </w:tabs>
              <w:spacing w:before="100" w:beforeAutospacing="1" w:after="100" w:afterAutospacing="1"/>
              <w:ind w:left="207" w:hanging="207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Om residualurin &lt;200 m</w:t>
            </w:r>
            <w:r w:rsidR="006A6AC1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l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 och besvärsfrihet, ingen ytterligare kontroll</w:t>
            </w:r>
          </w:p>
          <w:p w:rsidR="00DC614A" w:rsidRPr="00DC614A" w:rsidP="00DC614A" w14:paraId="185D68EE" w14:textId="77777777">
            <w:pPr>
              <w:numPr>
                <w:ilvl w:val="0"/>
                <w:numId w:val="23"/>
              </w:numPr>
              <w:tabs>
                <w:tab w:val="num" w:pos="207"/>
                <w:tab w:val="clear" w:pos="720"/>
              </w:tabs>
              <w:spacing w:before="100" w:beforeAutospacing="1" w:after="100" w:afterAutospacing="1"/>
              <w:ind w:left="207" w:hanging="207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Om </w:t>
            </w:r>
            <w:r w:rsidRPr="00DC614A" w:rsidR="00E6263E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residualurin&gt;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 200 m</w:t>
            </w:r>
            <w:r w:rsidR="006A6AC1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l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, övergå till hög risk</w:t>
            </w:r>
          </w:p>
          <w:p w:rsidR="00DC614A" w:rsidRPr="00DC614A" w:rsidP="0048508E" w14:paraId="528F29E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72555F0" w14:textId="77777777" w:rsidTr="009D043E">
        <w:tblPrEx>
          <w:tblW w:w="9348" w:type="dxa"/>
          <w:tblInd w:w="-431" w:type="dxa"/>
          <w:tblLook w:val="04A0"/>
        </w:tblPrEx>
        <w:trPr>
          <w:trHeight w:val="2307"/>
        </w:trPr>
        <w:tc>
          <w:tcPr>
            <w:tcW w:w="993" w:type="dxa"/>
          </w:tcPr>
          <w:p w:rsidR="00DC614A" w:rsidRPr="000A69BF" w:rsidP="0048508E" w14:paraId="29DF728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Hög risk</w:t>
            </w:r>
          </w:p>
        </w:tc>
        <w:tc>
          <w:tcPr>
            <w:tcW w:w="5738" w:type="dxa"/>
          </w:tcPr>
          <w:p w:rsidR="00DC614A" w:rsidRPr="00DC614A" w:rsidP="0048508E" w14:paraId="7C391408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Residualurin &gt;200 m</w:t>
            </w:r>
            <w:r w:rsidR="006A6AC1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l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 xml:space="preserve"> (uppmätt vid första blåsscanningen)</w:t>
            </w:r>
          </w:p>
          <w:p w:rsidR="00DC614A" w:rsidRPr="00DC614A" w:rsidP="0048508E" w14:paraId="34C26E31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Trauma, svår smärta, immobilisering</w:t>
            </w:r>
          </w:p>
          <w:p w:rsidR="00DC614A" w:rsidRPr="00DC614A" w:rsidP="0048508E" w14:paraId="220A2E3C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Hinder i urinrör, urinblåsa eller prostata (till exempel tumör).</w:t>
            </w:r>
          </w:p>
          <w:p w:rsidR="00DC614A" w:rsidRPr="00DC614A" w:rsidP="0048508E" w14:paraId="7B9C84DE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Medvetandesänkning, medvetslös</w:t>
            </w:r>
          </w:p>
          <w:p w:rsidR="00DC614A" w:rsidRPr="00DC614A" w:rsidP="0048508E" w14:paraId="3EA22705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Parenteral vätska i stora doser alternativt diuretika i hög dos</w:t>
            </w:r>
          </w:p>
          <w:p w:rsidR="00DC614A" w:rsidRPr="00DC614A" w:rsidP="0048508E" w14:paraId="6DBFB3B8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EDA – smärtlindrande lä</w:t>
            </w: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kemedel i epiduralkateter</w:t>
            </w:r>
          </w:p>
          <w:p w:rsidR="00DC614A" w:rsidRPr="00DC614A" w:rsidP="0048508E" w14:paraId="6E5E8FEE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Avslutad KAD-behandling</w:t>
            </w:r>
          </w:p>
          <w:p w:rsidR="00DC614A" w:rsidRPr="00DC614A" w:rsidP="0048508E" w14:paraId="3CC4817E" w14:textId="77777777">
            <w:pPr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spacing w:before="100" w:beforeAutospacing="1" w:after="100" w:afterAutospacing="1"/>
              <w:ind w:left="451" w:hanging="426"/>
              <w:contextualSpacing w:val="0"/>
              <w:rPr>
                <w:rFonts w:asciiTheme="minorHAnsi" w:hAnsiTheme="minorHAnsi" w:cstheme="minorHAnsi"/>
                <w:sz w:val="16"/>
                <w:szCs w:val="16"/>
                <w:lang w:eastAsia="sv-SE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Pareser</w:t>
            </w:r>
          </w:p>
          <w:p w:rsidR="00DC614A" w:rsidRPr="00DC614A" w:rsidP="0048508E" w14:paraId="59A88521" w14:textId="77777777">
            <w:pPr>
              <w:pStyle w:val="ListParagraph"/>
              <w:numPr>
                <w:ilvl w:val="0"/>
                <w:numId w:val="24"/>
              </w:numPr>
              <w:tabs>
                <w:tab w:val="num" w:pos="451"/>
                <w:tab w:val="clear" w:pos="720"/>
              </w:tabs>
              <w:ind w:left="451" w:hanging="426"/>
              <w:rPr>
                <w:rFonts w:asciiTheme="minorHAnsi" w:hAnsiTheme="minorHAnsi" w:cstheme="minorHAnsi"/>
                <w:sz w:val="16"/>
                <w:szCs w:val="16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  <w:lang w:eastAsia="sv-SE"/>
              </w:rPr>
              <w:t>Förlossning (lokala instruktioner bör följas på grund av risk för felkällor vid blåsscanning).</w:t>
            </w:r>
          </w:p>
        </w:tc>
        <w:tc>
          <w:tcPr>
            <w:tcW w:w="2617" w:type="dxa"/>
          </w:tcPr>
          <w:p w:rsidR="00DC614A" w:rsidRPr="00DC614A" w:rsidP="0048508E" w14:paraId="31083255" w14:textId="77777777">
            <w:pPr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DC614A">
              <w:rPr>
                <w:rFonts w:ascii="Arial" w:hAnsi="Arial" w:cs="Arial"/>
                <w:sz w:val="16"/>
                <w:szCs w:val="16"/>
                <w:lang w:eastAsia="sv-SE"/>
              </w:rPr>
              <w:t xml:space="preserve">Kontroll av blåstömning enligt schema (se Schema för kontroll av blåstömning). </w:t>
            </w:r>
          </w:p>
          <w:p w:rsidR="00DC614A" w:rsidRPr="00DC614A" w:rsidP="0048508E" w14:paraId="227FBD93" w14:textId="77777777">
            <w:pPr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DC614A" w:rsidRPr="00DC614A" w:rsidP="0048508E" w14:paraId="199869F3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C614A">
              <w:rPr>
                <w:rFonts w:ascii="Arial" w:hAnsi="Arial" w:cs="Arial"/>
                <w:sz w:val="16"/>
                <w:szCs w:val="16"/>
                <w:lang w:eastAsia="sv-SE"/>
              </w:rPr>
              <w:t>Hög risk avslutas när blåsscanning visar &lt;200 m</w:t>
            </w:r>
            <w:r w:rsidR="006A6AC1">
              <w:rPr>
                <w:rFonts w:ascii="Arial" w:hAnsi="Arial" w:cs="Arial"/>
                <w:sz w:val="16"/>
                <w:szCs w:val="16"/>
                <w:lang w:eastAsia="sv-SE"/>
              </w:rPr>
              <w:t>l</w:t>
            </w:r>
            <w:r w:rsidRPr="00DC614A">
              <w:rPr>
                <w:rFonts w:ascii="Arial" w:hAnsi="Arial" w:cs="Arial"/>
                <w:sz w:val="16"/>
                <w:szCs w:val="16"/>
                <w:lang w:eastAsia="sv-SE"/>
              </w:rPr>
              <w:t xml:space="preserve"> vid två efterföljande mätningar.</w:t>
            </w:r>
          </w:p>
        </w:tc>
      </w:tr>
      <w:tr w14:paraId="6512D3BA" w14:textId="77777777" w:rsidTr="009D043E">
        <w:tblPrEx>
          <w:tblW w:w="9348" w:type="dxa"/>
          <w:tblInd w:w="-431" w:type="dxa"/>
          <w:tblLook w:val="04A0"/>
        </w:tblPrEx>
        <w:trPr>
          <w:trHeight w:val="211"/>
        </w:trPr>
        <w:tc>
          <w:tcPr>
            <w:tcW w:w="993" w:type="dxa"/>
          </w:tcPr>
          <w:p w:rsidR="00DC614A" w:rsidRPr="000A69BF" w:rsidP="0048508E" w14:paraId="3E5E96AE" w14:textId="77777777">
            <w:pPr>
              <w:rPr>
                <w:b/>
                <w:bCs/>
              </w:rPr>
            </w:pPr>
            <w:r w:rsidRPr="000A69BF">
              <w:rPr>
                <w:b/>
                <w:bCs/>
              </w:rPr>
              <w:t>Operation</w:t>
            </w:r>
          </w:p>
        </w:tc>
        <w:tc>
          <w:tcPr>
            <w:tcW w:w="5738" w:type="dxa"/>
          </w:tcPr>
          <w:p w:rsidR="00DC614A" w:rsidRPr="00DC614A" w:rsidP="0048508E" w14:paraId="4DC7576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</w:rPr>
              <w:t>Ultraljudskontroll med blåsscanner rekommenderas inför en operation</w:t>
            </w:r>
          </w:p>
        </w:tc>
        <w:tc>
          <w:tcPr>
            <w:tcW w:w="2617" w:type="dxa"/>
          </w:tcPr>
          <w:p w:rsidR="00DC614A" w:rsidRPr="00DC614A" w:rsidP="0048508E" w14:paraId="7371854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614A">
              <w:rPr>
                <w:rFonts w:asciiTheme="minorHAnsi" w:hAnsiTheme="minorHAnsi" w:cstheme="minorHAnsi"/>
                <w:sz w:val="16"/>
                <w:szCs w:val="16"/>
              </w:rPr>
              <w:t>Lokala instruk</w:t>
            </w:r>
            <w:r w:rsidRPr="00DC614A">
              <w:rPr>
                <w:rFonts w:asciiTheme="minorHAnsi" w:hAnsiTheme="minorHAnsi" w:cstheme="minorHAnsi"/>
                <w:sz w:val="16"/>
                <w:szCs w:val="16"/>
              </w:rPr>
              <w:t>tioner</w:t>
            </w:r>
          </w:p>
        </w:tc>
      </w:tr>
    </w:tbl>
    <w:p w:rsidR="009D02CF" w:rsidP="009D02CF" w14:paraId="1E5165C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-302260</wp:posOffset>
                </wp:positionH>
                <wp:positionV relativeFrom="paragraph">
                  <wp:posOffset>104775</wp:posOffset>
                </wp:positionV>
                <wp:extent cx="5991225" cy="266700"/>
                <wp:effectExtent l="0" t="0" r="28575" b="19050"/>
                <wp:wrapNone/>
                <wp:docPr id="81" name="Textruta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91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14A" w:rsidP="00DC614A" w14:paraId="17E9621E" w14:textId="77777777">
                            <w:r>
                              <w:t>Observera – innan</w:t>
                            </w:r>
                            <w:r w:rsidR="00EC0EE7">
                              <w:t xml:space="preserve"> </w:t>
                            </w:r>
                            <w:r>
                              <w:t>mätning ska patienten ges tillfälle att tömma blåsan om möjligt sittande eller stående i ostörd miljö.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1" o:spid="_x0000_s1026" type="#_x0000_t202" style="width:471.75pt;height:21pt;margin-top:8.25pt;margin-left:-23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0528" fillcolor="white" stroked="t" strokecolor="black" strokeweight="0.5pt">
                <v:textbox>
                  <w:txbxContent>
                    <w:p w:rsidR="00DC614A" w:rsidP="00DC614A" w14:textId="730A7E98">
                      <w:r>
                        <w:t>Observera – innan</w:t>
                      </w:r>
                      <w:r w:rsidR="00EC0EE7">
                        <w:t xml:space="preserve"> </w:t>
                      </w:r>
                      <w:r>
                        <w:t>mätning ska patienten ges tillfälle att tömma blåsan om möjligt sittande eller stående i ostörd miljö.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2CF" w:rsidP="009D02CF" w14:paraId="33BB6482" w14:textId="77777777"/>
    <w:p w:rsidR="009D02CF" w:rsidP="009D02CF" w14:paraId="370B8C72" w14:textId="77777777"/>
    <w:p w:rsidR="00DC614A" w:rsidRPr="009D02CF" w:rsidP="009D02CF" w14:paraId="5117B440" w14:textId="77777777">
      <w:pPr>
        <w:rPr>
          <w:b/>
          <w:bCs/>
          <w:sz w:val="28"/>
          <w:szCs w:val="28"/>
        </w:rPr>
      </w:pPr>
      <w:r w:rsidRPr="009D02CF">
        <w:rPr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6436360</wp:posOffset>
            </wp:positionH>
            <wp:positionV relativeFrom="paragraph">
              <wp:posOffset>83820</wp:posOffset>
            </wp:positionV>
            <wp:extent cx="1466850" cy="78105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2CF" w:rsidR="00062FDD">
        <w:rPr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-372427</wp:posOffset>
            </wp:positionH>
            <wp:positionV relativeFrom="page">
              <wp:posOffset>6515734</wp:posOffset>
            </wp:positionV>
            <wp:extent cx="1752600" cy="569595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typ_li_RGB.wm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2CF">
        <w:rPr>
          <w:b/>
          <w:bCs/>
          <w:sz w:val="28"/>
          <w:szCs w:val="28"/>
        </w:rPr>
        <w:t>Schema</w:t>
      </w:r>
      <w:r w:rsidRPr="009D02CF">
        <w:rPr>
          <w:b/>
          <w:bCs/>
        </w:rPr>
        <w:t xml:space="preserve"> </w:t>
      </w:r>
      <w:r w:rsidRPr="009D02CF">
        <w:rPr>
          <w:b/>
          <w:bCs/>
          <w:sz w:val="28"/>
          <w:szCs w:val="28"/>
        </w:rPr>
        <w:t>för kontroll av blåstömning, med blåsscanner</w:t>
      </w:r>
    </w:p>
    <w:p w:rsidR="00DC614A" w:rsidRPr="000A69BF" w:rsidP="00EC0EE7" w14:paraId="156AD5FE" w14:textId="77777777">
      <w:pPr>
        <w:pStyle w:val="ListParagraph"/>
        <w:numPr>
          <w:ilvl w:val="1"/>
          <w:numId w:val="23"/>
        </w:numPr>
      </w:pPr>
      <w:r>
        <w:t xml:space="preserve">Tidsintervallet gäller enbart för patienter som inte </w:t>
      </w:r>
      <w:r>
        <w:t>besväras av urinträningar</w:t>
      </w:r>
    </w:p>
    <w:tbl>
      <w:tblPr>
        <w:tblStyle w:val="TableGrid"/>
        <w:tblW w:w="9215" w:type="dxa"/>
        <w:tblInd w:w="-431" w:type="dxa"/>
        <w:tblLook w:val="04A0"/>
      </w:tblPr>
      <w:tblGrid>
        <w:gridCol w:w="4805"/>
        <w:gridCol w:w="4410"/>
      </w:tblGrid>
      <w:tr w14:paraId="15461F7C" w14:textId="77777777" w:rsidTr="00EC0EE7">
        <w:tblPrEx>
          <w:tblW w:w="9215" w:type="dxa"/>
          <w:tblInd w:w="-431" w:type="dxa"/>
          <w:tblLook w:val="04A0"/>
        </w:tblPrEx>
        <w:tc>
          <w:tcPr>
            <w:tcW w:w="4805" w:type="dxa"/>
          </w:tcPr>
          <w:p w:rsidR="00DC614A" w:rsidRPr="00304A50" w:rsidP="0048508E" w14:paraId="3EA0237A" w14:textId="7777777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04A50">
              <w:rPr>
                <w:rFonts w:asciiTheme="minorHAnsi" w:hAnsiTheme="minorHAnsi" w:cstheme="minorHAnsi"/>
                <w:b/>
                <w:bCs/>
                <w:szCs w:val="20"/>
              </w:rPr>
              <w:t>Residualurin</w:t>
            </w:r>
          </w:p>
        </w:tc>
        <w:tc>
          <w:tcPr>
            <w:tcW w:w="4410" w:type="dxa"/>
          </w:tcPr>
          <w:p w:rsidR="00DC614A" w:rsidRPr="00304A50" w:rsidP="0048508E" w14:paraId="207DCD9F" w14:textId="7777777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04A50">
              <w:rPr>
                <w:rFonts w:asciiTheme="minorHAnsi" w:hAnsiTheme="minorHAnsi" w:cstheme="minorHAnsi"/>
                <w:b/>
                <w:bCs/>
                <w:szCs w:val="20"/>
              </w:rPr>
              <w:t>Kontroll</w:t>
            </w:r>
          </w:p>
        </w:tc>
      </w:tr>
      <w:tr w14:paraId="5E508958" w14:textId="77777777" w:rsidTr="00EC0EE7">
        <w:tblPrEx>
          <w:tblW w:w="9215" w:type="dxa"/>
          <w:tblInd w:w="-431" w:type="dxa"/>
          <w:tblLook w:val="04A0"/>
        </w:tblPrEx>
        <w:tc>
          <w:tcPr>
            <w:tcW w:w="4805" w:type="dxa"/>
          </w:tcPr>
          <w:p w:rsidR="00DC614A" w:rsidRPr="00304A50" w:rsidP="0048508E" w14:paraId="3E329FE7" w14:textId="77777777">
            <w:pPr>
              <w:rPr>
                <w:rFonts w:asciiTheme="minorHAnsi" w:hAnsiTheme="minorHAnsi" w:cstheme="minorHAnsi"/>
                <w:szCs w:val="20"/>
              </w:rPr>
            </w:pPr>
            <w:r w:rsidRPr="00304A50">
              <w:rPr>
                <w:rFonts w:asciiTheme="minorHAnsi" w:hAnsiTheme="minorHAnsi" w:cstheme="minorHAnsi"/>
                <w:szCs w:val="20"/>
              </w:rPr>
              <w:t>100 – 150 ml</w:t>
            </w:r>
          </w:p>
        </w:tc>
        <w:tc>
          <w:tcPr>
            <w:tcW w:w="4410" w:type="dxa"/>
          </w:tcPr>
          <w:p w:rsidR="00DC614A" w:rsidRPr="00304A50" w:rsidP="0048508E" w14:paraId="372D422D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Ny kontroll efter 3 timmar</w:t>
            </w:r>
          </w:p>
        </w:tc>
      </w:tr>
      <w:tr w14:paraId="58589E9C" w14:textId="77777777" w:rsidTr="00EC0EE7">
        <w:tblPrEx>
          <w:tblW w:w="9215" w:type="dxa"/>
          <w:tblInd w:w="-431" w:type="dxa"/>
          <w:tblLook w:val="04A0"/>
        </w:tblPrEx>
        <w:tc>
          <w:tcPr>
            <w:tcW w:w="4805" w:type="dxa"/>
          </w:tcPr>
          <w:p w:rsidR="00DC614A" w:rsidRPr="00304A50" w:rsidP="0048508E" w14:paraId="52B1DC5E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150 – 300 ml</w:t>
            </w:r>
          </w:p>
        </w:tc>
        <w:tc>
          <w:tcPr>
            <w:tcW w:w="4410" w:type="dxa"/>
          </w:tcPr>
          <w:p w:rsidR="00DC614A" w:rsidRPr="00304A50" w:rsidP="0048508E" w14:paraId="0C5FF577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Ny kontroll efter 2 timmar</w:t>
            </w:r>
          </w:p>
        </w:tc>
      </w:tr>
      <w:tr w14:paraId="4FD7BCB5" w14:textId="77777777" w:rsidTr="00EC0EE7">
        <w:tblPrEx>
          <w:tblW w:w="9215" w:type="dxa"/>
          <w:tblInd w:w="-431" w:type="dxa"/>
          <w:tblLook w:val="04A0"/>
        </w:tblPrEx>
        <w:tc>
          <w:tcPr>
            <w:tcW w:w="4805" w:type="dxa"/>
          </w:tcPr>
          <w:p w:rsidR="00DC614A" w:rsidRPr="00304A50" w:rsidP="0048508E" w14:paraId="5AC9B258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300 – 400 ml</w:t>
            </w:r>
          </w:p>
        </w:tc>
        <w:tc>
          <w:tcPr>
            <w:tcW w:w="4410" w:type="dxa"/>
          </w:tcPr>
          <w:p w:rsidR="00DC614A" w:rsidRPr="00304A50" w:rsidP="0048508E" w14:paraId="06CBB47C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Ny kontroll efter 1 timme</w:t>
            </w:r>
            <w:r w:rsidR="0034452A">
              <w:rPr>
                <w:rFonts w:asciiTheme="minorHAnsi" w:hAnsiTheme="minorHAnsi" w:cstheme="minorHAnsi"/>
                <w:szCs w:val="20"/>
              </w:rPr>
              <w:t>. Vidta åtgärder för att stimulera blåstömning</w:t>
            </w:r>
          </w:p>
        </w:tc>
      </w:tr>
      <w:tr w14:paraId="2701F604" w14:textId="77777777" w:rsidTr="00EC0EE7">
        <w:tblPrEx>
          <w:tblW w:w="9215" w:type="dxa"/>
          <w:tblInd w:w="-431" w:type="dxa"/>
          <w:tblLook w:val="04A0"/>
        </w:tblPrEx>
        <w:tc>
          <w:tcPr>
            <w:tcW w:w="4805" w:type="dxa"/>
          </w:tcPr>
          <w:p w:rsidR="00DC614A" w:rsidRPr="00304A50" w:rsidP="0048508E" w14:paraId="226F466B" w14:textId="7777777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&gt;</w:t>
            </w:r>
            <w:r w:rsidR="0034452A">
              <w:rPr>
                <w:rFonts w:asciiTheme="minorHAnsi" w:hAnsiTheme="minorHAnsi" w:cstheme="minorHAnsi"/>
                <w:szCs w:val="20"/>
              </w:rPr>
              <w:t>5</w:t>
            </w:r>
            <w:r>
              <w:rPr>
                <w:rFonts w:asciiTheme="minorHAnsi" w:hAnsiTheme="minorHAnsi" w:cstheme="minorHAnsi"/>
                <w:szCs w:val="20"/>
              </w:rPr>
              <w:t>00 ml</w:t>
            </w:r>
          </w:p>
        </w:tc>
        <w:tc>
          <w:tcPr>
            <w:tcW w:w="4410" w:type="dxa"/>
          </w:tcPr>
          <w:p w:rsidR="00DC614A" w:rsidRPr="0034452A" w:rsidP="0034452A" w14:paraId="21ED4878" w14:textId="77777777">
            <w:pPr>
              <w:pStyle w:val="Brdtext-RJH"/>
              <w:rPr>
                <w:rFonts w:asciiTheme="minorHAnsi" w:hAnsiTheme="minorHAnsi" w:cstheme="minorHAnsi"/>
              </w:rPr>
            </w:pPr>
            <w:r w:rsidRPr="0034452A">
              <w:rPr>
                <w:rFonts w:asciiTheme="minorHAnsi" w:hAnsiTheme="minorHAnsi" w:cstheme="minorHAnsi"/>
              </w:rPr>
              <w:t xml:space="preserve">Urintömning med hjälp av </w:t>
            </w:r>
            <w:r w:rsidRPr="0034452A">
              <w:rPr>
                <w:rFonts w:asciiTheme="minorHAnsi" w:hAnsiTheme="minorHAnsi" w:cstheme="minorHAnsi"/>
              </w:rPr>
              <w:t>kateter</w:t>
            </w:r>
          </w:p>
        </w:tc>
      </w:tr>
    </w:tbl>
    <w:p w:rsidR="006A6AC1" w:rsidP="00DC614A" w14:paraId="1147C9CD" w14:textId="77777777">
      <w:pPr>
        <w:rPr>
          <w:rFonts w:ascii="Georgia" w:hAnsi="Georgia"/>
          <w:szCs w:val="20"/>
        </w:rPr>
      </w:pPr>
      <w:r>
        <w:rPr>
          <w:rFonts w:ascii="Georgia" w:hAnsi="Georg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-283210</wp:posOffset>
                </wp:positionH>
                <wp:positionV relativeFrom="paragraph">
                  <wp:posOffset>91440</wp:posOffset>
                </wp:positionV>
                <wp:extent cx="5857875" cy="447675"/>
                <wp:effectExtent l="0" t="0" r="28575" b="28575"/>
                <wp:wrapNone/>
                <wp:docPr id="84" name="Textruta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7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14A" w:rsidRPr="0034452A" w:rsidP="00DC614A" w14:paraId="315B19A8" w14:textId="7777777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4452A">
                              <w:rPr>
                                <w:rFonts w:asciiTheme="majorHAnsi" w:hAnsiTheme="majorHAnsi" w:cs="Arial"/>
                                <w:color w:val="1E1E1E"/>
                                <w:shd w:val="clear" w:color="auto" w:fill="FFFFFF"/>
                              </w:rPr>
                              <w:t>Vid residualurinvolym &gt;500 mL bör intermittent kateterisering övervägas i första hand. Därefter ställningstagande till </w:t>
                            </w:r>
                            <w:hyperlink r:id="rId7" w:history="1">
                              <w:r w:rsidRPr="0034452A">
                                <w:rPr>
                                  <w:rFonts w:asciiTheme="majorHAnsi" w:hAnsiTheme="majorHAnsi" w:cs="Arial"/>
                                  <w:color w:val="8D3F9E"/>
                                  <w:u w:val="single"/>
                                  <w:shd w:val="clear" w:color="auto" w:fill="FFFFFF"/>
                                </w:rPr>
                                <w:t>KAD</w:t>
                              </w:r>
                            </w:hyperlink>
                            <w:r w:rsidRPr="0034452A">
                              <w:rPr>
                                <w:rFonts w:asciiTheme="majorHAnsi" w:hAnsiTheme="majorHAnsi" w:cs="Arial"/>
                                <w:color w:val="1E1E1E"/>
                                <w:shd w:val="clear" w:color="auto" w:fill="FFFFFF"/>
                              </w:rPr>
                              <w:t> eller </w:t>
                            </w:r>
                            <w:hyperlink r:id="rId8" w:history="1">
                              <w:r w:rsidRPr="0034452A">
                                <w:rPr>
                                  <w:rFonts w:asciiTheme="majorHAnsi" w:hAnsiTheme="majorHAnsi" w:cs="Arial"/>
                                  <w:color w:val="8D3F9E"/>
                                  <w:u w:val="single"/>
                                  <w:shd w:val="clear" w:color="auto" w:fill="FFFFFF"/>
                                </w:rPr>
                                <w:t>suprapubiskateter</w:t>
                              </w:r>
                            </w:hyperlink>
                            <w:r w:rsidRPr="0034452A">
                              <w:rPr>
                                <w:rFonts w:asciiTheme="majorHAnsi" w:hAnsiTheme="majorHAnsi" w:cs="Arial"/>
                                <w:color w:val="1E1E1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C614A" w:rsidP="00DC614A" w14:paraId="0EF41AF9" w14:textId="77777777"/>
                          <w:p w:rsidR="00DC614A" w:rsidP="00DC614A" w14:paraId="45BB8D3C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4" o:spid="_x0000_s1027" type="#_x0000_t202" style="width:461.25pt;height:35.25pt;margin-top:7.2pt;margin-left:-22.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color="white" stroked="t" strokecolor="black" strokeweight="0.5pt">
                <v:textbox>
                  <w:txbxContent>
                    <w:p w:rsidR="00DC614A" w:rsidRPr="0034452A" w:rsidP="00DC614A" w14:textId="1C0C8604">
                      <w:pPr>
                        <w:rPr>
                          <w:rFonts w:asciiTheme="majorHAnsi" w:hAnsiTheme="majorHAnsi"/>
                        </w:rPr>
                      </w:pPr>
                      <w:r w:rsidRPr="0034452A">
                        <w:rPr>
                          <w:rFonts w:asciiTheme="majorHAnsi" w:hAnsiTheme="majorHAnsi" w:cs="Arial"/>
                          <w:color w:val="1E1E1E"/>
                          <w:shd w:val="clear" w:color="auto" w:fill="FFFFFF"/>
                        </w:rPr>
                        <w:t>Vid residualurinvolym &gt;500 mL bör intermittent kateterisering övervägas i första hand. Därefter ställningstagande till </w:t>
                      </w:r>
                      <w:hyperlink r:id="rId7" w:history="1">
                        <w:r w:rsidRPr="0034452A">
                          <w:rPr>
                            <w:rFonts w:asciiTheme="majorHAnsi" w:hAnsiTheme="majorHAnsi" w:cs="Arial"/>
                            <w:color w:val="8D3F9E"/>
                            <w:u w:val="single"/>
                            <w:shd w:val="clear" w:color="auto" w:fill="FFFFFF"/>
                          </w:rPr>
                          <w:t>KAD</w:t>
                        </w:r>
                      </w:hyperlink>
                      <w:r w:rsidRPr="0034452A">
                        <w:rPr>
                          <w:rFonts w:asciiTheme="majorHAnsi" w:hAnsiTheme="majorHAnsi" w:cs="Arial"/>
                          <w:color w:val="1E1E1E"/>
                          <w:shd w:val="clear" w:color="auto" w:fill="FFFFFF"/>
                        </w:rPr>
                        <w:t> eller </w:t>
                      </w:r>
                      <w:hyperlink r:id="rId8" w:history="1">
                        <w:r w:rsidRPr="0034452A">
                          <w:rPr>
                            <w:rFonts w:asciiTheme="majorHAnsi" w:hAnsiTheme="majorHAnsi" w:cs="Arial"/>
                            <w:color w:val="8D3F9E"/>
                            <w:u w:val="single"/>
                            <w:shd w:val="clear" w:color="auto" w:fill="FFFFFF"/>
                          </w:rPr>
                          <w:t>suprapubiskateter</w:t>
                        </w:r>
                      </w:hyperlink>
                      <w:r w:rsidRPr="0034452A">
                        <w:rPr>
                          <w:rFonts w:asciiTheme="majorHAnsi" w:hAnsiTheme="majorHAnsi" w:cs="Arial"/>
                          <w:color w:val="1E1E1E"/>
                          <w:shd w:val="clear" w:color="auto" w:fill="FFFFFF"/>
                        </w:rPr>
                        <w:t>.</w:t>
                      </w:r>
                    </w:p>
                    <w:p w:rsidR="00DC614A" w:rsidP="00DC614A" w14:textId="77777777"/>
                    <w:p w:rsidR="00DC614A" w:rsidP="00DC614A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A6AC1" w:rsidP="00DC614A" w14:paraId="0A1588DB" w14:textId="77777777">
      <w:pPr>
        <w:rPr>
          <w:rFonts w:ascii="Georgia" w:hAnsi="Georgia"/>
          <w:szCs w:val="20"/>
        </w:rPr>
      </w:pPr>
    </w:p>
    <w:p w:rsidR="00DC614A" w:rsidP="00DC614A" w14:paraId="772FE2B1" w14:textId="77777777">
      <w:pPr>
        <w:rPr>
          <w:rFonts w:ascii="Georgia" w:hAnsi="Georgia"/>
          <w:szCs w:val="20"/>
        </w:rPr>
      </w:pPr>
    </w:p>
    <w:p w:rsidR="00EC0EE7" w:rsidRPr="00EC0EE7" w:rsidP="009D02CF" w14:paraId="231DD558" w14:textId="369B2DAB">
      <w:pPr>
        <w:pStyle w:val="Heading2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6250305</wp:posOffset>
            </wp:positionH>
            <wp:positionV relativeFrom="paragraph">
              <wp:posOffset>342900</wp:posOffset>
            </wp:positionV>
            <wp:extent cx="1466850" cy="781050"/>
            <wp:effectExtent l="0" t="0" r="0" b="0"/>
            <wp:wrapSquare wrapText="bothSides"/>
            <wp:docPr id="83" name="Bildobjekt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EE7">
        <w:t>Allmänt</w:t>
      </w:r>
    </w:p>
    <w:p w:rsidR="00DC614A" w:rsidRPr="006A6AC1" w:rsidP="006A6AC1" w14:paraId="4A8E4C9D" w14:textId="53EC984A">
      <w:pPr>
        <w:rPr>
          <w:rFonts w:ascii="Georgia" w:hAnsi="Georgia"/>
          <w:szCs w:val="20"/>
        </w:rPr>
      </w:pPr>
      <w:r w:rsidRPr="00EC0EE7">
        <w:rPr>
          <w:szCs w:val="20"/>
        </w:rPr>
        <w:t>Vid övertänjning av urinblåsan förlorar de muskelfibrer som urinblåsan består av sin förmåga att dra ihop sig, detta leder till att urinblåsan inte kan tömma sig. Blåsmuskelskadan kan bli bestående</w:t>
      </w:r>
      <w:r w:rsidR="003F07D9">
        <w:rPr>
          <w:szCs w:val="20"/>
        </w:rPr>
        <w:t xml:space="preserve"> redan vid 500ml. O</w:t>
      </w:r>
      <w:r w:rsidRPr="00EC0EE7">
        <w:rPr>
          <w:szCs w:val="20"/>
        </w:rPr>
        <w:t>m övertänjningen är mycket uttalad, urinvolym över 1500 ml, eller om den pågår under en längre tid</w:t>
      </w:r>
      <w:r w:rsidR="003F07D9">
        <w:rPr>
          <w:szCs w:val="20"/>
        </w:rPr>
        <w:t xml:space="preserve"> blir skadan nästan alltid bestående</w:t>
      </w:r>
      <w:r w:rsidRPr="00EC0EE7">
        <w:rPr>
          <w:szCs w:val="20"/>
        </w:rPr>
        <w:t>. Patienter kan av olika anledningar ha svårt att själva känna när det är kissnödiga och behöver därför sjukvårdspersonalens hjälp med blåsövervakning.</w:t>
      </w:r>
    </w:p>
    <w:p w:rsidR="00062FDD" w:rsidP="00236266" w14:paraId="501DECFD" w14:textId="77777777">
      <w:pPr>
        <w:outlineLvl w:val="0"/>
        <w:rPr>
          <w:rFonts w:eastAsia="Times New Roman" w:asciiTheme="majorHAnsi" w:hAnsiTheme="majorHAnsi" w:cs="Times New Roman"/>
          <w:b/>
          <w:bCs/>
          <w:kern w:val="36"/>
          <w:sz w:val="28"/>
          <w:szCs w:val="28"/>
          <w:lang w:eastAsia="sv-SE"/>
        </w:rPr>
      </w:pPr>
      <w:r w:rsidRPr="007400BB">
        <w:rPr>
          <w:rFonts w:asciiTheme="majorHAnsi" w:hAnsiTheme="majorHAnsi"/>
          <w:noProof/>
          <w:szCs w:val="20"/>
          <w:lang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-247015</wp:posOffset>
            </wp:positionH>
            <wp:positionV relativeFrom="page">
              <wp:posOffset>1540510</wp:posOffset>
            </wp:positionV>
            <wp:extent cx="1752600" cy="56959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yp_li_RGB.wm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266" w:rsidRPr="00236266" w:rsidP="00236266" w14:paraId="27198A77" w14:textId="77777777">
      <w:pPr>
        <w:outlineLvl w:val="0"/>
        <w:rPr>
          <w:rFonts w:eastAsia="Times New Roman" w:asciiTheme="majorHAnsi" w:hAnsiTheme="majorHAnsi" w:cs="Times New Roman"/>
          <w:b/>
          <w:bCs/>
          <w:kern w:val="36"/>
          <w:sz w:val="28"/>
          <w:szCs w:val="28"/>
          <w:lang w:eastAsia="sv-SE"/>
        </w:rPr>
      </w:pPr>
      <w:r w:rsidRPr="00236266">
        <w:rPr>
          <w:rFonts w:eastAsia="Times New Roman" w:asciiTheme="majorHAnsi" w:hAnsiTheme="majorHAnsi" w:cs="Times New Roman"/>
          <w:b/>
          <w:bCs/>
          <w:kern w:val="36"/>
          <w:sz w:val="28"/>
          <w:szCs w:val="28"/>
          <w:lang w:eastAsia="sv-SE"/>
        </w:rPr>
        <w:t>Blåsövervakning i samband med operation</w:t>
      </w:r>
    </w:p>
    <w:p w:rsidR="00236266" w:rsidRPr="00E36AF1" w:rsidP="00E36AF1" w14:paraId="19E1C7EE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 xml:space="preserve">Patienter som genomgår operation har en ökad risk för blåsöverfyllnad och urinretention. Smärta, stress och </w:t>
      </w:r>
    </w:p>
    <w:p w:rsidR="00236266" w:rsidRPr="007400BB" w:rsidP="00E36AF1" w14:paraId="05BFC0FE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>
        <w:rPr>
          <w:rFonts w:eastAsia="Times New Roman" w:asciiTheme="majorHAnsi" w:hAnsiTheme="majorHAnsi" w:cs="Times New Roman"/>
          <w:szCs w:val="20"/>
          <w:lang w:eastAsia="sv-SE"/>
        </w:rPr>
        <w:t>s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>ängläge försvårar urintömningen och många patienter har stora blåsvolymer redan innan operationsstart</w:t>
      </w:r>
      <w:r>
        <w:rPr>
          <w:rFonts w:eastAsia="Times New Roman" w:asciiTheme="majorHAnsi" w:hAnsiTheme="majorHAnsi" w:cs="Times New Roman"/>
          <w:szCs w:val="20"/>
          <w:lang w:eastAsia="sv-SE"/>
        </w:rPr>
        <w:t xml:space="preserve">. </w:t>
      </w:r>
      <w:r w:rsidRPr="007400BB">
        <w:rPr>
          <w:rFonts w:eastAsia="Times New Roman" w:asciiTheme="majorHAnsi" w:hAnsiTheme="majorHAnsi" w:cs="Times New Roman"/>
          <w:szCs w:val="20"/>
          <w:lang w:eastAsia="sv-SE"/>
        </w:rPr>
        <w:t>För att förebygga överfyllnad av urinblåsan</w:t>
      </w:r>
      <w:r w:rsidRPr="007400BB">
        <w:rPr>
          <w:rFonts w:eastAsia="Times New Roman" w:asciiTheme="majorHAnsi" w:hAnsiTheme="majorHAnsi" w:cs="Times New Roman"/>
          <w:szCs w:val="20"/>
          <w:lang w:eastAsia="sv-SE"/>
        </w:rPr>
        <w:t xml:space="preserve"> bör alla patienter blåsövervakas i samband med operation</w:t>
      </w:r>
      <w:r>
        <w:rPr>
          <w:rFonts w:eastAsia="Times New Roman" w:asciiTheme="majorHAnsi" w:hAnsiTheme="majorHAnsi" w:cs="Times New Roman"/>
          <w:szCs w:val="20"/>
          <w:lang w:eastAsia="sv-SE"/>
        </w:rPr>
        <w:t xml:space="preserve">. </w:t>
      </w:r>
      <w:r w:rsidRPr="007400BB">
        <w:rPr>
          <w:rFonts w:eastAsia="Times New Roman" w:asciiTheme="majorHAnsi" w:hAnsiTheme="majorHAnsi" w:cs="Times New Roman"/>
          <w:szCs w:val="20"/>
          <w:lang w:eastAsia="sv-SE"/>
        </w:rPr>
        <w:t>Risk för postoperativ urinretention föreligger hos alla patienter oavsett ålder men vid vissa ingrepp är risken högre</w:t>
      </w:r>
    </w:p>
    <w:p w:rsidR="007716B7" w:rsidRPr="0051040D" w:rsidP="007716B7" w14:paraId="285B8759" w14:textId="77777777">
      <w:pPr>
        <w:spacing w:before="120"/>
        <w:ind w:right="-908"/>
        <w:outlineLvl w:val="1"/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</w:pP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>Inför operation</w:t>
      </w:r>
    </w:p>
    <w:p w:rsidR="007716B7" w:rsidRPr="00E36AF1" w:rsidP="00E36AF1" w14:paraId="5A642837" w14:textId="77777777">
      <w:pPr>
        <w:ind w:right="-908"/>
        <w:outlineLvl w:val="1"/>
        <w:rPr>
          <w:rFonts w:eastAsia="Times New Roman" w:asciiTheme="majorHAnsi" w:hAnsiTheme="majorHAnsi" w:cs="Times New Roman"/>
          <w:b/>
          <w:bCs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 xml:space="preserve">Patienten ska tömma urinblåsan </w:t>
      </w:r>
      <w:r w:rsidRPr="00E36AF1">
        <w:rPr>
          <w:rFonts w:eastAsia="Times New Roman" w:asciiTheme="majorHAnsi" w:hAnsiTheme="majorHAnsi" w:cs="Times New Roman"/>
          <w:b/>
          <w:szCs w:val="20"/>
          <w:lang w:eastAsia="sv-SE"/>
        </w:rPr>
        <w:t xml:space="preserve">på </w:t>
      </w:r>
      <w:r w:rsidRPr="00E36AF1">
        <w:rPr>
          <w:rFonts w:eastAsia="Times New Roman" w:asciiTheme="majorHAnsi" w:hAnsiTheme="majorHAnsi" w:cs="Times New Roman"/>
          <w:b/>
          <w:szCs w:val="20"/>
          <w:lang w:eastAsia="sv-SE"/>
        </w:rPr>
        <w:t>vårdavdelningen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 xml:space="preserve"> så nära transport till operationsavdelning som möjligt.</w:t>
      </w:r>
      <w:r w:rsidR="00E36AF1">
        <w:rPr>
          <w:rFonts w:eastAsia="Times New Roman" w:asciiTheme="majorHAnsi" w:hAnsiTheme="majorHAnsi" w:cs="Times New Roman"/>
          <w:b/>
          <w:bCs/>
          <w:szCs w:val="20"/>
          <w:lang w:eastAsia="sv-SE"/>
        </w:rPr>
        <w:t xml:space="preserve">      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>Blåsscanning ska göras före anestesistart:</w:t>
      </w:r>
      <w:r w:rsidRPr="00FD2EAC" w:rsidR="00FD2EAC">
        <w:rPr>
          <w:noProof/>
          <w:lang w:eastAsia="sv-SE"/>
        </w:rPr>
        <w:t xml:space="preserve"> </w:t>
      </w:r>
    </w:p>
    <w:p w:rsidR="00E36AF1" w:rsidP="00E36AF1" w14:paraId="4F679960" w14:textId="77777777">
      <w:pPr>
        <w:numPr>
          <w:ilvl w:val="0"/>
          <w:numId w:val="25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>
        <w:rPr>
          <w:rFonts w:eastAsia="Times New Roman" w:asciiTheme="majorHAnsi" w:hAnsiTheme="majorHAnsi" w:cs="Times New Roman"/>
          <w:szCs w:val="20"/>
          <w:lang w:eastAsia="sv-SE"/>
        </w:rPr>
        <w:t>o</w:t>
      </w:r>
      <w:r w:rsidRPr="0051040D" w:rsidR="007716B7">
        <w:rPr>
          <w:rFonts w:eastAsia="Times New Roman" w:asciiTheme="majorHAnsi" w:hAnsiTheme="majorHAnsi" w:cs="Times New Roman"/>
          <w:szCs w:val="20"/>
          <w:lang w:eastAsia="sv-SE"/>
        </w:rPr>
        <w:t>m blåsvolymen överstiger 200 ml bör patienten tömma blåsan och åter blåsscannas</w:t>
      </w:r>
    </w:p>
    <w:p w:rsidR="00E36AF1" w:rsidRPr="00E36AF1" w:rsidP="00E36AF1" w14:paraId="5473D815" w14:textId="77777777">
      <w:pPr>
        <w:numPr>
          <w:ilvl w:val="0"/>
          <w:numId w:val="25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>o</w:t>
      </w:r>
      <w:r w:rsidRPr="00E36AF1" w:rsidR="007716B7">
        <w:rPr>
          <w:rFonts w:eastAsia="Times New Roman" w:asciiTheme="majorHAnsi" w:hAnsiTheme="majorHAnsi" w:cs="Times New Roman"/>
          <w:szCs w:val="20"/>
          <w:lang w:eastAsia="sv-SE"/>
        </w:rPr>
        <w:t>m blåsvolymen därefter överstiger 200 ml sätts en kvarkateter (KAD) efter läkarordination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 xml:space="preserve">           </w:t>
      </w:r>
    </w:p>
    <w:p w:rsidR="007716B7" w:rsidRPr="00E36AF1" w:rsidP="00E36AF1" w14:paraId="7B358028" w14:textId="77777777">
      <w:pPr>
        <w:pStyle w:val="ListParagraph"/>
        <w:numPr>
          <w:ilvl w:val="0"/>
          <w:numId w:val="26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>Behandlingstiden bör inte överstiga 24 timmar</w:t>
      </w:r>
    </w:p>
    <w:p w:rsidR="00E36AF1" w:rsidP="007716B7" w14:paraId="4E827943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</w:p>
    <w:p w:rsidR="007716B7" w:rsidRPr="003C4525" w:rsidP="007716B7" w14:paraId="7E72ED8E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 xml:space="preserve">Om patienten bedöms ha hög risk för urinretention bör KAD sättas, lämpligen efter det att anestesin inletts. </w:t>
      </w:r>
    </w:p>
    <w:p w:rsidR="003D3C77" w:rsidRPr="009D02CF" w:rsidP="007716B7" w14:paraId="1A106835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 xml:space="preserve">KAD-behandling ska alltid ordineras av </w:t>
      </w:r>
      <w:r w:rsidRPr="00E6263E">
        <w:rPr>
          <w:rFonts w:eastAsia="Times New Roman" w:asciiTheme="majorHAnsi" w:hAnsiTheme="majorHAnsi" w:cs="Times New Roman"/>
          <w:szCs w:val="20"/>
          <w:lang w:eastAsia="sv-SE"/>
        </w:rPr>
        <w:t xml:space="preserve">läkare. Suprapubisk kateter är </w:t>
      </w:r>
      <w:r w:rsidRPr="0051040D">
        <w:rPr>
          <w:rFonts w:eastAsia="Times New Roman" w:asciiTheme="majorHAnsi" w:hAnsiTheme="majorHAnsi" w:cs="Times New Roman"/>
          <w:szCs w:val="20"/>
          <w:lang w:eastAsia="sv-SE"/>
        </w:rPr>
        <w:t>ett fullvärdigt alternativ till uretrakateter.</w:t>
      </w:r>
    </w:p>
    <w:p w:rsidR="007716B7" w:rsidRPr="0051040D" w:rsidP="007716B7" w14:paraId="027A8A68" w14:textId="77777777">
      <w:pPr>
        <w:spacing w:before="120"/>
        <w:ind w:right="-908"/>
        <w:outlineLvl w:val="2"/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</w:pP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 xml:space="preserve">Hög risk för </w:t>
      </w: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>urinretention i samband med operation:</w:t>
      </w:r>
    </w:p>
    <w:p w:rsidR="007716B7" w:rsidRPr="007C2502" w:rsidP="007C2502" w14:paraId="321C6065" w14:textId="77777777">
      <w:pPr>
        <w:pStyle w:val="ListParagraph"/>
        <w:numPr>
          <w:ilvl w:val="0"/>
          <w:numId w:val="27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7C2502">
        <w:rPr>
          <w:rFonts w:eastAsia="Times New Roman" w:asciiTheme="majorHAnsi" w:hAnsiTheme="majorHAnsi" w:cs="Times New Roman"/>
          <w:szCs w:val="20"/>
          <w:lang w:eastAsia="sv-SE"/>
        </w:rPr>
        <w:t>Residualurin &gt;200 ml vid den preoperativa blåsscanningen.</w:t>
      </w:r>
    </w:p>
    <w:p w:rsidR="007716B7" w:rsidRPr="0051040D" w:rsidP="00FD2EAC" w14:paraId="05AAC768" w14:textId="77777777">
      <w:pPr>
        <w:numPr>
          <w:ilvl w:val="0"/>
          <w:numId w:val="28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Långa operationer - mer än 3 timmar från preoperativ blåstömning till ingreppets avslutande.</w:t>
      </w:r>
    </w:p>
    <w:p w:rsidR="007716B7" w:rsidRPr="0051040D" w:rsidP="00FD2EAC" w14:paraId="03B09A8E" w14:textId="77777777">
      <w:pPr>
        <w:numPr>
          <w:ilvl w:val="0"/>
          <w:numId w:val="28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Ingrepp i bäckenet.</w:t>
      </w:r>
    </w:p>
    <w:p w:rsidR="007716B7" w:rsidRPr="0051040D" w:rsidP="00FD2EAC" w14:paraId="2925EEC9" w14:textId="77777777">
      <w:pPr>
        <w:numPr>
          <w:ilvl w:val="0"/>
          <w:numId w:val="28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 xml:space="preserve">Höft- och </w:t>
      </w:r>
      <w:r w:rsidRPr="0051040D">
        <w:rPr>
          <w:rFonts w:eastAsia="Times New Roman" w:asciiTheme="majorHAnsi" w:hAnsiTheme="majorHAnsi" w:cs="Times New Roman"/>
          <w:szCs w:val="20"/>
          <w:lang w:eastAsia="sv-SE"/>
        </w:rPr>
        <w:t>lårbensoperationer.</w:t>
      </w:r>
    </w:p>
    <w:p w:rsidR="007716B7" w:rsidRPr="0051040D" w:rsidP="00FD2EAC" w14:paraId="2F466D83" w14:textId="77777777">
      <w:pPr>
        <w:numPr>
          <w:ilvl w:val="0"/>
          <w:numId w:val="28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Ingrepp i spinalanestesi med upprepad tillförsel av bedövningsmedel.</w:t>
      </w:r>
    </w:p>
    <w:p w:rsidR="007716B7" w:rsidRPr="0051040D" w:rsidP="00FD2EAC" w14:paraId="3BE401EC" w14:textId="77777777">
      <w:pPr>
        <w:numPr>
          <w:ilvl w:val="0"/>
          <w:numId w:val="28"/>
        </w:num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Ingrepp i epiduralanestesi.</w:t>
      </w:r>
    </w:p>
    <w:p w:rsidR="007716B7" w:rsidRPr="0051040D" w:rsidP="009D043E" w14:paraId="352A9194" w14:textId="77777777">
      <w:pPr>
        <w:spacing w:before="240"/>
        <w:ind w:right="-908"/>
        <w:outlineLvl w:val="1"/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</w:pP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>Under operation</w:t>
      </w:r>
    </w:p>
    <w:p w:rsidR="007716B7" w:rsidRPr="003C4525" w:rsidP="007716B7" w14:paraId="3D1FA23F" w14:textId="77777777">
      <w:pPr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 xml:space="preserve">Om operationstiden blir oväntat lång bör blåsscanning göras när högst 3 timmar har gått sedan den preoperativa </w:t>
      </w:r>
    </w:p>
    <w:p w:rsidR="007716B7" w:rsidRPr="0051040D" w:rsidP="007716B7" w14:paraId="01A02FAB" w14:textId="77777777">
      <w:pPr>
        <w:spacing w:after="120"/>
        <w:ind w:right="-908"/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blåsscannin</w:t>
      </w:r>
      <w:r w:rsidRPr="0051040D">
        <w:rPr>
          <w:rFonts w:eastAsia="Times New Roman" w:asciiTheme="majorHAnsi" w:hAnsiTheme="majorHAnsi" w:cs="Times New Roman"/>
          <w:szCs w:val="20"/>
          <w:lang w:eastAsia="sv-SE"/>
        </w:rPr>
        <w:t>gen. Tänk på möjligheten att använda sterilt ultraljudsskydd.</w:t>
      </w:r>
    </w:p>
    <w:p w:rsidR="007716B7" w:rsidRPr="003F07D9" w:rsidP="007716B7" w14:paraId="7951725B" w14:textId="77777777">
      <w:pPr>
        <w:spacing w:before="120"/>
        <w:outlineLvl w:val="2"/>
        <w:rPr>
          <w:rFonts w:eastAsia="Times New Roman" w:asciiTheme="majorHAnsi" w:hAnsiTheme="majorHAnsi" w:cs="Times New Roman"/>
          <w:b/>
          <w:bCs/>
          <w:sz w:val="24"/>
          <w:szCs w:val="24"/>
          <w:u w:val="single"/>
          <w:lang w:eastAsia="sv-SE"/>
        </w:rPr>
      </w:pPr>
      <w:r w:rsidRPr="003F07D9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 xml:space="preserve">På vårdavdelning - </w:t>
      </w:r>
      <w:r w:rsidRPr="003F07D9">
        <w:rPr>
          <w:rFonts w:eastAsia="Times New Roman" w:asciiTheme="majorHAnsi" w:hAnsiTheme="majorHAnsi" w:cs="Times New Roman"/>
          <w:b/>
          <w:bCs/>
          <w:sz w:val="24"/>
          <w:szCs w:val="24"/>
          <w:u w:val="single"/>
          <w:lang w:eastAsia="sv-SE"/>
        </w:rPr>
        <w:t>utan KAD</w:t>
      </w:r>
    </w:p>
    <w:p w:rsidR="007716B7" w:rsidRPr="003D0C74" w:rsidP="003D0C74" w14:paraId="449D18F3" w14:textId="77777777">
      <w:pPr>
        <w:rPr>
          <w:rFonts w:eastAsia="Times New Roman" w:asciiTheme="majorHAnsi" w:hAnsiTheme="majorHAnsi" w:cs="Times New Roman"/>
          <w:szCs w:val="20"/>
          <w:lang w:eastAsia="sv-SE"/>
        </w:rPr>
      </w:pPr>
      <w:r w:rsidRPr="003D0C74">
        <w:rPr>
          <w:rFonts w:eastAsia="Times New Roman" w:asciiTheme="majorHAnsi" w:hAnsiTheme="majorHAnsi" w:cs="Times New Roman"/>
          <w:szCs w:val="20"/>
          <w:lang w:eastAsia="sv-SE"/>
        </w:rPr>
        <w:t xml:space="preserve">Blåsscanning ska göras vid patientens ankomst till vårdavdelningen och blåsscanning upprepas </w:t>
      </w:r>
    </w:p>
    <w:p w:rsidR="007716B7" w:rsidRPr="003D0C74" w:rsidP="003D0C74" w14:paraId="59D30C73" w14:textId="77777777">
      <w:pPr>
        <w:rPr>
          <w:rFonts w:eastAsia="Times New Roman" w:asciiTheme="majorHAnsi" w:hAnsiTheme="majorHAnsi" w:cs="Times New Roman"/>
          <w:szCs w:val="20"/>
          <w:lang w:eastAsia="sv-SE"/>
        </w:rPr>
      </w:pPr>
      <w:r w:rsidRPr="003D0C74">
        <w:rPr>
          <w:rFonts w:eastAsia="Times New Roman" w:asciiTheme="majorHAnsi" w:hAnsiTheme="majorHAnsi" w:cs="Times New Roman"/>
          <w:b/>
          <w:szCs w:val="20"/>
          <w:lang w:eastAsia="sv-SE"/>
        </w:rPr>
        <w:t>varannan timme</w:t>
      </w:r>
      <w:r w:rsidRPr="003D0C74">
        <w:rPr>
          <w:rFonts w:eastAsia="Times New Roman" w:asciiTheme="majorHAnsi" w:hAnsiTheme="majorHAnsi" w:cs="Times New Roman"/>
          <w:szCs w:val="20"/>
          <w:lang w:eastAsia="sv-SE"/>
        </w:rPr>
        <w:t xml:space="preserve"> tills blåstömning skett.</w:t>
      </w:r>
    </w:p>
    <w:p w:rsidR="007716B7" w:rsidRPr="003D0C74" w:rsidP="003D0C74" w14:paraId="10918061" w14:textId="77777777">
      <w:pPr>
        <w:rPr>
          <w:rFonts w:eastAsia="Times New Roman" w:asciiTheme="majorHAnsi" w:hAnsiTheme="majorHAnsi" w:cs="Times New Roman"/>
          <w:szCs w:val="20"/>
          <w:lang w:eastAsia="sv-SE"/>
        </w:rPr>
      </w:pPr>
      <w:r w:rsidRPr="007400BB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-294005</wp:posOffset>
            </wp:positionH>
            <wp:positionV relativeFrom="page">
              <wp:posOffset>6530340</wp:posOffset>
            </wp:positionV>
            <wp:extent cx="1752600" cy="569595"/>
            <wp:effectExtent l="0" t="0" r="0" b="0"/>
            <wp:wrapSquare wrapText="bothSides"/>
            <wp:docPr id="65" name="Bildobjekt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logotyp_li_RGB.wm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5088890</wp:posOffset>
            </wp:positionH>
            <wp:positionV relativeFrom="paragraph">
              <wp:posOffset>55880</wp:posOffset>
            </wp:positionV>
            <wp:extent cx="1466850" cy="7810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C74">
        <w:rPr>
          <w:rFonts w:eastAsia="Times New Roman" w:asciiTheme="majorHAnsi" w:hAnsiTheme="majorHAnsi" w:cs="Times New Roman"/>
          <w:szCs w:val="20"/>
          <w:lang w:eastAsia="sv-SE"/>
        </w:rPr>
        <w:t xml:space="preserve">När patienten själv tömt </w:t>
      </w:r>
      <w:r w:rsidRPr="003D0C74">
        <w:rPr>
          <w:rFonts w:eastAsia="Times New Roman" w:asciiTheme="majorHAnsi" w:hAnsiTheme="majorHAnsi" w:cs="Times New Roman"/>
          <w:szCs w:val="20"/>
          <w:lang w:eastAsia="sv-SE"/>
        </w:rPr>
        <w:t>blåsan ska kontrollscanning ske:</w:t>
      </w:r>
    </w:p>
    <w:p w:rsidR="007716B7" w:rsidRPr="00E36AF1" w:rsidP="00E36AF1" w14:paraId="38F6D298" w14:textId="77777777">
      <w:pPr>
        <w:pStyle w:val="ListParagraph"/>
        <w:numPr>
          <w:ilvl w:val="0"/>
          <w:numId w:val="29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>om blåsvolymen understiger 200 ml avslutas blåsövervakning</w:t>
      </w:r>
    </w:p>
    <w:p w:rsidR="007716B7" w:rsidRPr="00E36AF1" w:rsidP="00E36AF1" w14:paraId="6FF9E463" w14:textId="77777777">
      <w:pPr>
        <w:pStyle w:val="ListParagraph"/>
        <w:numPr>
          <w:ilvl w:val="0"/>
          <w:numId w:val="29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>om blåsvolymen överstiger 200 ml sker fortsatt blåsövervakning</w:t>
      </w:r>
    </w:p>
    <w:p w:rsidR="007716B7" w:rsidRPr="003D0C74" w:rsidP="003D0C74" w14:paraId="60BB9BA1" w14:textId="77777777">
      <w:pPr>
        <w:rPr>
          <w:rFonts w:eastAsia="Times New Roman" w:asciiTheme="majorHAnsi" w:hAnsiTheme="majorHAnsi" w:cs="Times New Roman"/>
          <w:szCs w:val="20"/>
          <w:lang w:eastAsia="sv-SE"/>
        </w:rPr>
      </w:pPr>
      <w:r>
        <w:rPr>
          <w:rFonts w:eastAsia="Times New Roman" w:asciiTheme="majorHAnsi" w:hAnsiTheme="majorHAnsi" w:cs="Times New Roman"/>
          <w:szCs w:val="20"/>
          <w:lang w:eastAsia="sv-SE"/>
        </w:rPr>
        <w:t>O</w:t>
      </w:r>
      <w:r w:rsidRPr="003D0C74">
        <w:rPr>
          <w:rFonts w:eastAsia="Times New Roman" w:asciiTheme="majorHAnsi" w:hAnsiTheme="majorHAnsi" w:cs="Times New Roman"/>
          <w:szCs w:val="20"/>
          <w:lang w:eastAsia="sv-SE"/>
        </w:rPr>
        <w:t xml:space="preserve">m patienten inte själv kan tömma blåsan ska blåstappning ske när blåsvolymen överstiger </w:t>
      </w:r>
      <w:r w:rsidRPr="003D0C74" w:rsidR="003D0C74">
        <w:rPr>
          <w:rFonts w:eastAsia="Times New Roman" w:asciiTheme="majorHAnsi" w:hAnsiTheme="majorHAnsi" w:cs="Times New Roman"/>
          <w:szCs w:val="20"/>
          <w:lang w:eastAsia="sv-SE"/>
        </w:rPr>
        <w:t>5</w:t>
      </w:r>
      <w:r w:rsidRPr="003D0C74">
        <w:rPr>
          <w:rFonts w:eastAsia="Times New Roman" w:asciiTheme="majorHAnsi" w:hAnsiTheme="majorHAnsi" w:cs="Times New Roman"/>
          <w:szCs w:val="20"/>
          <w:lang w:eastAsia="sv-SE"/>
        </w:rPr>
        <w:t>00 ml</w:t>
      </w:r>
    </w:p>
    <w:p w:rsidR="007716B7" w:rsidRPr="0050546D" w:rsidP="007716B7" w14:paraId="184E5E76" w14:textId="77777777">
      <w:pPr>
        <w:spacing w:before="120"/>
        <w:outlineLvl w:val="2"/>
        <w:rPr>
          <w:rFonts w:eastAsia="Times New Roman" w:asciiTheme="majorHAnsi" w:hAnsiTheme="majorHAnsi" w:cs="Times New Roman"/>
          <w:b/>
          <w:bCs/>
          <w:sz w:val="24"/>
          <w:szCs w:val="24"/>
          <w:u w:val="single"/>
          <w:lang w:eastAsia="sv-SE"/>
        </w:rPr>
      </w:pP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>Blåsö</w:t>
      </w:r>
      <w:r w:rsidRPr="0051040D">
        <w:rPr>
          <w:rFonts w:eastAsia="Times New Roman" w:asciiTheme="majorHAnsi" w:hAnsiTheme="majorHAnsi" w:cs="Times New Roman"/>
          <w:b/>
          <w:bCs/>
          <w:sz w:val="24"/>
          <w:szCs w:val="24"/>
          <w:lang w:eastAsia="sv-SE"/>
        </w:rPr>
        <w:t xml:space="preserve">vervakning </w:t>
      </w:r>
      <w:r w:rsidRPr="0050546D">
        <w:rPr>
          <w:rFonts w:eastAsia="Times New Roman" w:asciiTheme="majorHAnsi" w:hAnsiTheme="majorHAnsi" w:cs="Times New Roman"/>
          <w:b/>
          <w:bCs/>
          <w:sz w:val="24"/>
          <w:szCs w:val="24"/>
          <w:u w:val="single"/>
          <w:lang w:eastAsia="sv-SE"/>
        </w:rPr>
        <w:t>vid KAD</w:t>
      </w:r>
    </w:p>
    <w:p w:rsidR="007716B7" w:rsidRPr="0051040D" w:rsidP="00FD2EAC" w14:paraId="118A88B9" w14:textId="77777777">
      <w:pPr>
        <w:numPr>
          <w:ilvl w:val="0"/>
          <w:numId w:val="30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Katetertid längre än 1 dygn efter operation bör undvikas</w:t>
      </w:r>
    </w:p>
    <w:p w:rsidR="007716B7" w:rsidRPr="0051040D" w:rsidP="00FD2EAC" w14:paraId="0AABC8FF" w14:textId="77777777">
      <w:pPr>
        <w:numPr>
          <w:ilvl w:val="0"/>
          <w:numId w:val="30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Mobiliserad smärtfri patient kan i regel bli av med katetern operationsdagens eftermiddag</w:t>
      </w:r>
    </w:p>
    <w:p w:rsidR="007716B7" w:rsidP="00FD2EAC" w14:paraId="7B4AA36B" w14:textId="77777777">
      <w:pPr>
        <w:numPr>
          <w:ilvl w:val="0"/>
          <w:numId w:val="30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51040D">
        <w:rPr>
          <w:rFonts w:eastAsia="Times New Roman" w:asciiTheme="majorHAnsi" w:hAnsiTheme="majorHAnsi" w:cs="Times New Roman"/>
          <w:szCs w:val="20"/>
          <w:lang w:eastAsia="sv-SE"/>
        </w:rPr>
        <w:t>För övriga patienter dras katetern klockan 06 dagen efter operation</w:t>
      </w:r>
    </w:p>
    <w:p w:rsidR="007716B7" w:rsidP="009D043E" w14:paraId="796C3654" w14:textId="77777777">
      <w:pPr>
        <w:numPr>
          <w:ilvl w:val="0"/>
          <w:numId w:val="31"/>
        </w:numPr>
        <w:rPr>
          <w:rFonts w:eastAsia="Times New Roman" w:asciiTheme="majorHAnsi" w:hAnsiTheme="majorHAnsi" w:cs="Times New Roman"/>
          <w:szCs w:val="20"/>
          <w:lang w:eastAsia="sv-SE"/>
        </w:rPr>
      </w:pPr>
      <w:r w:rsidRPr="00E36AF1">
        <w:rPr>
          <w:rFonts w:eastAsia="Times New Roman" w:asciiTheme="majorHAnsi" w:hAnsiTheme="majorHAnsi" w:cs="Times New Roman"/>
          <w:szCs w:val="20"/>
          <w:lang w:eastAsia="sv-SE"/>
        </w:rPr>
        <w:t xml:space="preserve">Om 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>KAD-behandlingen behöver pågå längre än 24 timmar ska daglig utvärdering av behandlingsbehovet utföras</w:t>
      </w:r>
      <w:r w:rsidRPr="00E36AF1" w:rsidR="00E36AF1">
        <w:rPr>
          <w:rFonts w:eastAsia="Times New Roman" w:asciiTheme="majorHAnsi" w:hAnsiTheme="majorHAnsi" w:cs="Times New Roman"/>
          <w:szCs w:val="20"/>
          <w:lang w:eastAsia="sv-SE"/>
        </w:rPr>
        <w:t xml:space="preserve">. </w:t>
      </w:r>
      <w:r w:rsidRPr="00E36AF1">
        <w:rPr>
          <w:rFonts w:eastAsia="Times New Roman" w:asciiTheme="majorHAnsi" w:hAnsiTheme="majorHAnsi" w:cs="Times New Roman"/>
          <w:szCs w:val="20"/>
          <w:lang w:eastAsia="sv-SE"/>
        </w:rPr>
        <w:t>Behandlingstid ska ordineras av läkare</w:t>
      </w:r>
    </w:p>
    <w:p w:rsidR="00E36AF1" w:rsidRPr="00E36AF1" w:rsidP="00E36AF1" w14:paraId="476D3B76" w14:textId="77777777">
      <w:pPr>
        <w:ind w:left="720"/>
        <w:rPr>
          <w:rFonts w:eastAsia="Times New Roman" w:asciiTheme="majorHAnsi" w:hAnsiTheme="majorHAnsi" w:cs="Times New Roman"/>
          <w:szCs w:val="20"/>
          <w:lang w:eastAsia="sv-SE"/>
        </w:rPr>
      </w:pPr>
    </w:p>
    <w:p w:rsidR="007400BB" w:rsidRPr="00AE25E4" w:rsidP="00AE25E4" w14:paraId="37419F56" w14:textId="0593086A">
      <w:pPr>
        <w:rPr>
          <w:i/>
          <w:iCs/>
        </w:rPr>
      </w:pPr>
      <w:r w:rsidRPr="003F07D9">
        <w:rPr>
          <w:rFonts w:eastAsia="Times New Roman" w:asciiTheme="majorHAnsi" w:hAnsiTheme="majorHAnsi" w:cs="Times New Roman"/>
          <w:szCs w:val="20"/>
          <w:lang w:eastAsia="sv-SE"/>
        </w:rPr>
        <w:t>Efter borttagning av KAD ska blåsan kontrolleras enligt instruktioner</w:t>
      </w:r>
      <w:r w:rsidR="00E36AF1">
        <w:rPr>
          <w:rFonts w:eastAsia="Times New Roman" w:asciiTheme="majorHAnsi" w:hAnsiTheme="majorHAnsi" w:cs="Times New Roman"/>
          <w:szCs w:val="20"/>
          <w:lang w:eastAsia="sv-SE"/>
        </w:rPr>
        <w:t xml:space="preserve"> i texten </w:t>
      </w:r>
      <w:r w:rsidRPr="00E36AF1" w:rsidR="00E36AF1">
        <w:rPr>
          <w:rFonts w:eastAsia="Times New Roman" w:asciiTheme="majorHAnsi" w:hAnsiTheme="majorHAnsi" w:cs="Times New Roman"/>
          <w:b/>
          <w:bCs/>
          <w:i/>
          <w:iCs/>
          <w:szCs w:val="20"/>
          <w:lang w:eastAsia="sv-SE"/>
        </w:rPr>
        <w:t>Bedömning och å</w:t>
      </w:r>
      <w:r w:rsidRPr="00E36AF1">
        <w:rPr>
          <w:rFonts w:eastAsia="Times New Roman" w:asciiTheme="majorHAnsi" w:hAnsiTheme="majorHAnsi" w:cs="Times New Roman"/>
          <w:b/>
          <w:bCs/>
          <w:i/>
          <w:iCs/>
          <w:szCs w:val="20"/>
          <w:lang w:eastAsia="sv-SE"/>
        </w:rPr>
        <w:t>tgärd</w:t>
      </w:r>
      <w:r w:rsidRPr="00E36AF1">
        <w:rPr>
          <w:rFonts w:eastAsia="Times New Roman" w:asciiTheme="majorHAnsi" w:hAnsiTheme="majorHAnsi" w:cs="Times New Roman"/>
          <w:b/>
          <w:i/>
          <w:iCs/>
          <w:szCs w:val="20"/>
          <w:lang w:eastAsia="sv-SE"/>
        </w:rPr>
        <w:t xml:space="preserve"> vid risk för urinretention.</w:t>
      </w:r>
    </w:p>
    <w:sectPr w:rsidSect="00740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1871" w:bottom="709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D5F" w14:paraId="379283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30FFC0D3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50E3C808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4D7DB412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6A71F638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27751D82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5E952981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1B662550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38B233AC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6BD845D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52F9DDC4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3F8BCD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D5F" w14:paraId="492C67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D5F" w14:paraId="486DDE9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67E5EAD4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19519634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19634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C73478A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7A6EC2D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0636C885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CHECKLISTA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7EB7522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Lathund för Schema blåstömning-blåsöverfyllnad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9D8B3EF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697BB02A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5A7792" w:rsidRPr="00975D5F" w:rsidP="005C5B00" w14:paraId="49221B04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C_DocumentNumber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52286-4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</w:p>
      </w:tc>
    </w:tr>
    <w:tr w14:paraId="163BAB95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5C5B00" w14:paraId="2D8C3FD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C_WorkUnit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Patientsäkerhet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</w:p>
        <w:p w:rsidR="005A7792" w:rsidRPr="00975D5F" w:rsidP="005A7792" w14:paraId="787AED1B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 w:rsidR="00A67FE1">
            <w:rPr>
              <w:rFonts w:asciiTheme="majorHAnsi" w:hAnsiTheme="majorHAnsi" w:cstheme="minorHAnsi"/>
              <w:color w:val="7F7F7F"/>
              <w:sz w:val="13"/>
            </w:rPr>
            <w:instrText xml:space="preserve"> DOCPROPERTY C_Owner \* Caps 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A67FE1">
            <w:rPr>
              <w:rFonts w:asciiTheme="majorHAnsi" w:hAnsiTheme="majorHAnsi" w:cstheme="minorHAnsi"/>
              <w:color w:val="7F7F7F"/>
              <w:sz w:val="13"/>
            </w:rPr>
            <w:t>Sara Schratz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</w:p>
        <w:p w:rsidR="005A7792" w:rsidRPr="00975D5F" w:rsidP="00982122" w14:paraId="1EE70D43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</w:rPr>
          </w:pPr>
        </w:p>
        <w:p w:rsidR="00E33AE4" w:rsidRPr="00975D5F" w:rsidP="00982122" w14:paraId="20F47EE9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5A7792" w:rsidRPr="00975D5F" w:rsidP="00982122" w14:paraId="5EB573A1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5A7792" w:rsidRPr="00975D5F" w:rsidP="005C5B00" w14:paraId="7221D02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</w:tbl>
  <w:p w:rsidR="00E47EFD" w:rsidRPr="00AB5EA8" w:rsidP="00982122" w14:paraId="0A32422F" w14:textId="77777777">
    <w:pPr>
      <w:pStyle w:val="Sidhuvudsidnumrering-RJH"/>
      <w:ind w:right="-907"/>
      <w:rPr>
        <w:color w:val="4D4D4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2EC8141A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22169D6"/>
    <w:multiLevelType w:val="hybridMultilevel"/>
    <w:tmpl w:val="696CF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16793"/>
    <w:multiLevelType w:val="multilevel"/>
    <w:tmpl w:val="0AA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4032BA"/>
    <w:multiLevelType w:val="multilevel"/>
    <w:tmpl w:val="8E12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06B30"/>
    <w:multiLevelType w:val="multilevel"/>
    <w:tmpl w:val="0AA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F705A"/>
    <w:multiLevelType w:val="hybridMultilevel"/>
    <w:tmpl w:val="55249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2B58"/>
    <w:multiLevelType w:val="multilevel"/>
    <w:tmpl w:val="531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10AEF"/>
    <w:multiLevelType w:val="multilevel"/>
    <w:tmpl w:val="893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31F7F"/>
    <w:multiLevelType w:val="multilevel"/>
    <w:tmpl w:val="D53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Arial Narrow" w:hAnsi="Arial Narrow" w:eastAsia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C40B9"/>
    <w:multiLevelType w:val="multilevel"/>
    <w:tmpl w:val="916A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F4EF3"/>
    <w:multiLevelType w:val="hybridMultilevel"/>
    <w:tmpl w:val="F5740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2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22"/>
  </w:num>
  <w:num w:numId="24">
    <w:abstractNumId w:val="23"/>
  </w:num>
  <w:num w:numId="25">
    <w:abstractNumId w:val="15"/>
  </w:num>
  <w:num w:numId="26">
    <w:abstractNumId w:val="25"/>
  </w:num>
  <w:num w:numId="27">
    <w:abstractNumId w:val="12"/>
  </w:num>
  <w:num w:numId="28">
    <w:abstractNumId w:val="21"/>
  </w:num>
  <w:num w:numId="29">
    <w:abstractNumId w:val="19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62FDD"/>
    <w:rsid w:val="00077AB2"/>
    <w:rsid w:val="0009433F"/>
    <w:rsid w:val="000956D3"/>
    <w:rsid w:val="000A38B7"/>
    <w:rsid w:val="000A69BF"/>
    <w:rsid w:val="000B7CDE"/>
    <w:rsid w:val="000C2EF5"/>
    <w:rsid w:val="000C4469"/>
    <w:rsid w:val="00104041"/>
    <w:rsid w:val="001121C1"/>
    <w:rsid w:val="00117EB6"/>
    <w:rsid w:val="00121764"/>
    <w:rsid w:val="00136754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36266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C0117"/>
    <w:rsid w:val="002E598A"/>
    <w:rsid w:val="002E7947"/>
    <w:rsid w:val="002F00BE"/>
    <w:rsid w:val="00304A50"/>
    <w:rsid w:val="00306959"/>
    <w:rsid w:val="00310DCB"/>
    <w:rsid w:val="0031484C"/>
    <w:rsid w:val="003151F4"/>
    <w:rsid w:val="003270B9"/>
    <w:rsid w:val="0034452A"/>
    <w:rsid w:val="0035326B"/>
    <w:rsid w:val="00360B84"/>
    <w:rsid w:val="00375A00"/>
    <w:rsid w:val="003841CF"/>
    <w:rsid w:val="003B00D6"/>
    <w:rsid w:val="003C4525"/>
    <w:rsid w:val="003D0C74"/>
    <w:rsid w:val="003D3C77"/>
    <w:rsid w:val="003F07D9"/>
    <w:rsid w:val="003F5483"/>
    <w:rsid w:val="003F6EEC"/>
    <w:rsid w:val="003F700D"/>
    <w:rsid w:val="00416A86"/>
    <w:rsid w:val="004446DE"/>
    <w:rsid w:val="00447366"/>
    <w:rsid w:val="0045201F"/>
    <w:rsid w:val="0045632E"/>
    <w:rsid w:val="004569FA"/>
    <w:rsid w:val="0046708B"/>
    <w:rsid w:val="00475373"/>
    <w:rsid w:val="0048508E"/>
    <w:rsid w:val="00486302"/>
    <w:rsid w:val="004D76C0"/>
    <w:rsid w:val="004F0685"/>
    <w:rsid w:val="004F29E8"/>
    <w:rsid w:val="004F462C"/>
    <w:rsid w:val="0050546D"/>
    <w:rsid w:val="0051040D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94684"/>
    <w:rsid w:val="005947ED"/>
    <w:rsid w:val="005A49D5"/>
    <w:rsid w:val="005A7792"/>
    <w:rsid w:val="005B4D71"/>
    <w:rsid w:val="005C103C"/>
    <w:rsid w:val="005C5B00"/>
    <w:rsid w:val="0061408B"/>
    <w:rsid w:val="00635184"/>
    <w:rsid w:val="00636904"/>
    <w:rsid w:val="006378DD"/>
    <w:rsid w:val="0064178B"/>
    <w:rsid w:val="006456FA"/>
    <w:rsid w:val="006759FC"/>
    <w:rsid w:val="006869DF"/>
    <w:rsid w:val="006A6AC1"/>
    <w:rsid w:val="006B4615"/>
    <w:rsid w:val="006D4CA5"/>
    <w:rsid w:val="0073162A"/>
    <w:rsid w:val="007400BB"/>
    <w:rsid w:val="0074542B"/>
    <w:rsid w:val="00747533"/>
    <w:rsid w:val="00755B00"/>
    <w:rsid w:val="00765F42"/>
    <w:rsid w:val="00770681"/>
    <w:rsid w:val="00771348"/>
    <w:rsid w:val="007716B7"/>
    <w:rsid w:val="0079072D"/>
    <w:rsid w:val="00795451"/>
    <w:rsid w:val="007C2502"/>
    <w:rsid w:val="007C6633"/>
    <w:rsid w:val="007E478A"/>
    <w:rsid w:val="007E4D01"/>
    <w:rsid w:val="007F21C4"/>
    <w:rsid w:val="007F3EEE"/>
    <w:rsid w:val="007F7906"/>
    <w:rsid w:val="0080591F"/>
    <w:rsid w:val="008212A3"/>
    <w:rsid w:val="0082473C"/>
    <w:rsid w:val="00826305"/>
    <w:rsid w:val="0083102E"/>
    <w:rsid w:val="008350E1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8F237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02CF"/>
    <w:rsid w:val="009D043E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1FCD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25E4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0D49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614A"/>
    <w:rsid w:val="00DD0DBC"/>
    <w:rsid w:val="00DD79A8"/>
    <w:rsid w:val="00DE67D1"/>
    <w:rsid w:val="00E2003B"/>
    <w:rsid w:val="00E33AE4"/>
    <w:rsid w:val="00E36AF1"/>
    <w:rsid w:val="00E42AE0"/>
    <w:rsid w:val="00E47EFD"/>
    <w:rsid w:val="00E5537A"/>
    <w:rsid w:val="00E61872"/>
    <w:rsid w:val="00E6263E"/>
    <w:rsid w:val="00E6548E"/>
    <w:rsid w:val="00E65DA0"/>
    <w:rsid w:val="00E704D0"/>
    <w:rsid w:val="00E97CE5"/>
    <w:rsid w:val="00EC0EE7"/>
    <w:rsid w:val="00EC3D78"/>
    <w:rsid w:val="00EC5E23"/>
    <w:rsid w:val="00EC61C0"/>
    <w:rsid w:val="00EF42A6"/>
    <w:rsid w:val="00F0786B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D2EAC"/>
    <w:rsid w:val="00FD58F3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48F70E-B23B-41B0-9E09-55E008E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51FCD"/>
    <w:pPr>
      <w:ind w:left="720"/>
      <w:contextualSpacing/>
    </w:pPr>
  </w:style>
  <w:style w:type="paragraph" w:customStyle="1" w:styleId="Default">
    <w:name w:val="Default"/>
    <w:rsid w:val="00EC0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hyperlink" Target="https://www.vardhandboken.se/katetrar-sonder-och-dran/kateterisering-av-urinblasa/oversikt/" TargetMode="External" /><Relationship Id="rId8" Type="http://schemas.openxmlformats.org/officeDocument/2006/relationships/hyperlink" Target="https://www.vardhandboken.se/katetrar-sonder-och-dran/kateterisering-av-urinblasa/suprapubisk/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840</Words>
  <Characters>4455</Characters>
  <Application>Microsoft Office Word</Application>
  <DocSecurity>8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Marianne Nilsson</cp:lastModifiedBy>
  <cp:revision>2</cp:revision>
  <cp:lastPrinted>2015-10-27T14:22:00Z</cp:lastPrinted>
  <dcterms:created xsi:type="dcterms:W3CDTF">2019-04-16T09:06:00Z</dcterms:created>
  <dcterms:modified xsi:type="dcterms:W3CDTF">2020-11-20T06:38:00Z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https://rjh.centuri.se:443/command/workflow/52286/comment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2021-11-20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2020-11-20</vt:lpwstr>
  </property>
  <property fmtid="{D5CDD505-2E9C-101B-9397-08002B2CF9AE}" pid="16" name="C_CreatedBy">
    <vt:lpwstr>Marianne Nilsson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2020-11-20</vt:lpwstr>
  </property>
  <property fmtid="{D5CDD505-2E9C-101B-9397-08002B2CF9AE}" pid="21" name="C_Description">
    <vt:lpwstr/>
  </property>
  <property fmtid="{D5CDD505-2E9C-101B-9397-08002B2CF9AE}" pid="22" name="C_DocumentNumber">
    <vt:lpwstr>52286-4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4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https://rjh.centuri.se:443/RegNo/52286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https://rjh.centuri.se:443/Compare/52286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Sara Schratz</vt:lpwstr>
  </property>
  <property fmtid="{D5CDD505-2E9C-101B-9397-08002B2CF9AE}" pid="41" name="C_Owners">
    <vt:lpwstr>Sara Schratz</vt:lpwstr>
  </property>
  <property fmtid="{D5CDD505-2E9C-101B-9397-08002B2CF9AE}" pid="42" name="C_Owner_Email">
    <vt:lpwstr>sara.schratz@regionjh.se</vt:lpwstr>
  </property>
  <property fmtid="{D5CDD505-2E9C-101B-9397-08002B2CF9AE}" pid="43" name="C_Owner_FamilyName">
    <vt:lpwstr>Schratz</vt:lpwstr>
  </property>
  <property fmtid="{D5CDD505-2E9C-101B-9397-08002B2CF9AE}" pid="44" name="C_Owner_GivenName">
    <vt:lpwstr>Sara</vt:lpwstr>
  </property>
  <property fmtid="{D5CDD505-2E9C-101B-9397-08002B2CF9AE}" pid="45" name="C_Owner_JobTitle">
    <vt:lpwstr/>
  </property>
  <property fmtid="{D5CDD505-2E9C-101B-9397-08002B2CF9AE}" pid="46" name="C_Owner_UserName">
    <vt:lpwstr>sawe1</vt:lpwstr>
  </property>
  <property fmtid="{D5CDD505-2E9C-101B-9397-08002B2CF9AE}" pid="47" name="C_Owner_WorkUnit">
    <vt:lpwstr>Patientsäkerhet</vt:lpwstr>
  </property>
  <property fmtid="{D5CDD505-2E9C-101B-9397-08002B2CF9AE}" pid="48" name="C_Owner_WorkUnitPath">
    <vt:lpwstr>Region Jämtland Härjedalen / Hälso- och sjukvård / Patientsäkerhet</vt:lpwstr>
  </property>
  <property fmtid="{D5CDD505-2E9C-101B-9397-08002B2CF9AE}" pid="49" name="C_Owner_WorkUnit_ExternalId">
    <vt:lpwstr/>
  </property>
  <property fmtid="{D5CDD505-2E9C-101B-9397-08002B2CF9AE}" pid="50" name="C_RegistrationNumber">
    <vt:lpwstr>52286</vt:lpwstr>
  </property>
  <property fmtid="{D5CDD505-2E9C-101B-9397-08002B2CF9AE}" pid="51" name="C_RegistrationNumberId">
    <vt:lpwstr>286d54b5-6b65-446e-91d5-38f2b8999582</vt:lpwstr>
  </property>
  <property fmtid="{D5CDD505-2E9C-101B-9397-08002B2CF9AE}" pid="52" name="C_RegNo">
    <vt:lpwstr>52286-4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Generella vårdprogram, rutiner - Omvårdnad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Lathund för Schema blåstömning-blåsöverfyllnad</vt:lpwstr>
  </property>
  <property fmtid="{D5CDD505-2E9C-101B-9397-08002B2CF9AE}" pid="66" name="C_UpdatedWhen">
    <vt:lpwstr>2022-06-16</vt:lpwstr>
  </property>
  <property fmtid="{D5CDD505-2E9C-101B-9397-08002B2CF9AE}" pid="67" name="C_UpdatedWhenDate">
    <vt:lpwstr>2022-06-16</vt:lpwstr>
  </property>
  <property fmtid="{D5CDD505-2E9C-101B-9397-08002B2CF9AE}" pid="68" name="C_ValidFrom">
    <vt:lpwstr>2020-11-20</vt:lpwstr>
  </property>
  <property fmtid="{D5CDD505-2E9C-101B-9397-08002B2CF9AE}" pid="69" name="C_ValidFromDate">
    <vt:lpwstr>2020-11-20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85d1b66b-4106-4c2c-a95d-d2af9e431f70</vt:lpwstr>
  </property>
  <property fmtid="{D5CDD505-2E9C-101B-9397-08002B2CF9AE}" pid="75" name="C_WorkUnit">
    <vt:lpwstr>Patientsäkerhet</vt:lpwstr>
  </property>
  <property fmtid="{D5CDD505-2E9C-101B-9397-08002B2CF9AE}" pid="76" name="C_WorkUnitPath">
    <vt:lpwstr>Region Jämtland Härjedalen / Hälso- och sjukvård / Patientsäkerhet</vt:lpwstr>
  </property>
</Properties>
</file>